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spacing w:line="432" w:lineRule="auto"/>
        <w:jc w:val="center"/>
        <w:rPr>
          <w:rFonts w:ascii="宋体" w:cs="宋体"/>
          <w:b/>
          <w:bCs/>
          <w:color w:val="333333"/>
          <w:sz w:val="36"/>
          <w:szCs w:val="36"/>
        </w:rPr>
      </w:pPr>
    </w:p>
    <w:p>
      <w:pPr>
        <w:pStyle w:val="2"/>
        <w:widowControl/>
        <w:spacing w:line="432" w:lineRule="auto"/>
        <w:jc w:val="center"/>
        <w:rPr>
          <w:rFonts w:ascii="宋体" w:cs="宋体"/>
          <w:b/>
          <w:bCs/>
          <w:color w:val="333333"/>
          <w:sz w:val="36"/>
          <w:szCs w:val="36"/>
        </w:rPr>
      </w:pPr>
    </w:p>
    <w:p>
      <w:pPr>
        <w:pStyle w:val="2"/>
        <w:widowControl/>
        <w:spacing w:line="432" w:lineRule="auto"/>
        <w:jc w:val="center"/>
        <w:rPr>
          <w:rFonts w:ascii="宋体" w:cs="Times New Roman"/>
        </w:rPr>
      </w:pPr>
      <w:r>
        <w:rPr>
          <w:rFonts w:hint="eastAsia" w:ascii="宋体" w:hAnsi="宋体" w:cs="宋体"/>
          <w:b/>
          <w:bCs/>
          <w:color w:val="333333"/>
          <w:sz w:val="36"/>
          <w:szCs w:val="36"/>
        </w:rPr>
        <w:t>湘桥区工信局信息公开年度报告</w:t>
      </w:r>
    </w:p>
    <w:p>
      <w:pPr>
        <w:pStyle w:val="2"/>
        <w:widowControl/>
        <w:spacing w:line="432" w:lineRule="auto"/>
        <w:ind w:firstLine="420"/>
        <w:jc w:val="both"/>
        <w:rPr>
          <w:rFonts w:ascii="宋体" w:cs="Times New Roman"/>
        </w:rPr>
      </w:pPr>
    </w:p>
    <w:p>
      <w:pPr>
        <w:pStyle w:val="2"/>
        <w:widowControl/>
        <w:spacing w:line="432" w:lineRule="auto"/>
        <w:ind w:firstLine="420"/>
        <w:jc w:val="both"/>
        <w:rPr>
          <w:rFonts w:ascii="宋体" w:cs="Times New Roman"/>
        </w:rPr>
      </w:pPr>
      <w:r>
        <w:rPr>
          <w:rFonts w:hint="eastAsia" w:ascii="宋体" w:hAnsi="宋体" w:cs="宋体"/>
          <w:b/>
          <w:bCs/>
          <w:color w:val="333333"/>
        </w:rPr>
        <w:t>一、总体情况</w:t>
      </w:r>
    </w:p>
    <w:p>
      <w:pPr>
        <w:pStyle w:val="2"/>
        <w:widowControl/>
        <w:spacing w:line="432" w:lineRule="auto"/>
        <w:ind w:firstLine="420"/>
        <w:rPr>
          <w:rFonts w:ascii="宋体" w:cs="宋体"/>
          <w:color w:val="333333"/>
        </w:rPr>
      </w:pPr>
      <w:r>
        <w:rPr>
          <w:rFonts w:ascii="宋体" w:hAnsi="宋体" w:cs="宋体"/>
          <w:color w:val="333333"/>
        </w:rPr>
        <w:t>2019</w:t>
      </w:r>
      <w:r>
        <w:rPr>
          <w:rFonts w:hint="eastAsia" w:ascii="宋体" w:hAnsi="宋体" w:cs="宋体"/>
          <w:color w:val="333333"/>
        </w:rPr>
        <w:t>年，在区委、区政府的领导下，我局认真贯彻落实《中华人民共和国政府信息公开条例》、《广东省政务公开条例》和《潮州市人民政府信息公开暂行办法》各项工作要求，进一步健全机制，完善载体，强化监督，扎实推进政府信息公开工作，提高政府工作透明度，促进依法行政。按照国务院办公厅政府公开办公室《关于政府信息公开工作年度报告有关事项的通知》（国办公开办函</w:t>
      </w:r>
      <w:r>
        <w:rPr>
          <w:rFonts w:ascii="宋体" w:hAnsi="宋体" w:cs="宋体"/>
          <w:color w:val="333333"/>
        </w:rPr>
        <w:t>[2019]60</w:t>
      </w:r>
      <w:r>
        <w:rPr>
          <w:rFonts w:hint="eastAsia" w:ascii="宋体" w:hAnsi="宋体" w:cs="宋体"/>
          <w:color w:val="333333"/>
        </w:rPr>
        <w:t>号）、《中华人民共和国政府信息公开条例》的规定，现将</w:t>
      </w:r>
      <w:r>
        <w:rPr>
          <w:rFonts w:ascii="宋体" w:hAnsi="宋体" w:cs="宋体"/>
          <w:color w:val="333333"/>
        </w:rPr>
        <w:t>2019</w:t>
      </w:r>
      <w:r>
        <w:rPr>
          <w:rFonts w:hint="eastAsia" w:ascii="宋体" w:hAnsi="宋体" w:cs="宋体"/>
          <w:color w:val="333333"/>
        </w:rPr>
        <w:t>年我局信息公开工作报告如下：</w:t>
      </w:r>
    </w:p>
    <w:p>
      <w:pPr>
        <w:pStyle w:val="2"/>
        <w:widowControl/>
        <w:spacing w:line="432" w:lineRule="auto"/>
        <w:ind w:firstLine="420"/>
        <w:rPr>
          <w:rFonts w:ascii="宋体" w:cs="宋体"/>
          <w:color w:val="333333"/>
        </w:rPr>
      </w:pPr>
      <w:r>
        <w:rPr>
          <w:rFonts w:hint="eastAsia" w:ascii="宋体" w:hAnsi="宋体" w:cs="宋体"/>
          <w:color w:val="333333"/>
        </w:rPr>
        <w:t>（一）加强组织领导，抓好责任落实</w:t>
      </w:r>
    </w:p>
    <w:p>
      <w:pPr>
        <w:pStyle w:val="2"/>
        <w:widowControl/>
        <w:spacing w:line="432" w:lineRule="auto"/>
        <w:ind w:firstLine="420"/>
        <w:rPr>
          <w:rFonts w:ascii="宋体" w:cs="宋体"/>
          <w:color w:val="333333"/>
        </w:rPr>
      </w:pPr>
      <w:r>
        <w:rPr>
          <w:rFonts w:hint="eastAsia" w:ascii="宋体" w:hAnsi="宋体" w:cs="宋体"/>
          <w:color w:val="333333"/>
        </w:rPr>
        <w:t>我局高度重视政府信息公开工作，将政府信息公开工作纳入年度工作计划，周密部署，整体推进。局指定分管副局长负责全局政府信息公开工作，人秘股负责具体业务，相关股室各司其责配合落实，确保工作有专人承办，责任到人，层层落实。同时，将政府信息公开与日常的信息化、电子政务、保密等工作结合起来，加强人员培训，组织干部职工学习相关文件精神，准确把握政府信息公开的度与量，提高工作能力。</w:t>
      </w:r>
    </w:p>
    <w:p>
      <w:pPr>
        <w:pStyle w:val="2"/>
        <w:widowControl/>
        <w:spacing w:line="432" w:lineRule="auto"/>
        <w:ind w:firstLine="420"/>
        <w:rPr>
          <w:rFonts w:ascii="宋体" w:cs="宋体"/>
          <w:color w:val="333333"/>
        </w:rPr>
      </w:pPr>
      <w:r>
        <w:rPr>
          <w:rFonts w:hint="eastAsia" w:ascii="宋体" w:hAnsi="宋体" w:cs="宋体"/>
          <w:color w:val="333333"/>
        </w:rPr>
        <w:t>（二）完善各项制度，认真抓好落实</w:t>
      </w:r>
    </w:p>
    <w:p>
      <w:pPr>
        <w:pStyle w:val="2"/>
        <w:widowControl/>
        <w:spacing w:line="432" w:lineRule="auto"/>
        <w:ind w:firstLine="420"/>
        <w:rPr>
          <w:rFonts w:ascii="宋体" w:cs="宋体"/>
          <w:color w:val="333333"/>
        </w:rPr>
      </w:pPr>
      <w:r>
        <w:rPr>
          <w:rFonts w:hint="eastAsia" w:ascii="宋体" w:hAnsi="宋体" w:cs="宋体"/>
          <w:color w:val="333333"/>
        </w:rPr>
        <w:t>根据“以主动公开为主，依申请公开为补充”的要求，我局认真对政府信息进行了梳理，将政府信息分为主动公开、依申请公开、不予公开三类，加大政府信息主动公开力度，拓宽有效公开渠道。落实了政府信息发布保密审查机制、程序，公开的信息都依据保密审查制度进行保密审查后发布，明确了依申请公开的受理机构和程序。同时，进一步贯彻落实《中华人民共和国政府信息公开条例》精神，将公开单位在履行职责过程产生的政务信息作为一项日常性工作任务，在政府信息公开子网站公布工作动态</w:t>
      </w:r>
      <w:r>
        <w:rPr>
          <w:rFonts w:ascii="宋体" w:hAnsi="宋体" w:cs="宋体"/>
          <w:color w:val="333333"/>
        </w:rPr>
        <w:t>,</w:t>
      </w:r>
      <w:r>
        <w:rPr>
          <w:rFonts w:hint="eastAsia" w:ascii="宋体" w:hAnsi="宋体" w:cs="宋体"/>
          <w:color w:val="333333"/>
        </w:rPr>
        <w:t>将社会普遍关注的经济社会发展情况、相关政策文件等信息及时在网站上更新、发布，努力塑造一个公开、透明的部门形象。</w:t>
      </w:r>
    </w:p>
    <w:p>
      <w:pPr>
        <w:pStyle w:val="2"/>
        <w:widowControl/>
        <w:spacing w:line="432" w:lineRule="auto"/>
        <w:ind w:firstLine="420"/>
        <w:rPr>
          <w:rFonts w:ascii="宋体" w:cs="宋体"/>
          <w:color w:val="333333"/>
        </w:rPr>
      </w:pPr>
      <w:r>
        <w:rPr>
          <w:rFonts w:hint="eastAsia" w:ascii="宋体" w:hAnsi="宋体" w:cs="宋体"/>
          <w:color w:val="333333"/>
        </w:rPr>
        <w:t>（三）规范信息公开，提高工作实效</w:t>
      </w:r>
    </w:p>
    <w:p>
      <w:pPr>
        <w:pStyle w:val="2"/>
        <w:widowControl/>
        <w:spacing w:line="432" w:lineRule="auto"/>
        <w:ind w:firstLine="420"/>
        <w:rPr>
          <w:rFonts w:ascii="宋体" w:cs="宋体"/>
          <w:color w:val="333333"/>
        </w:rPr>
      </w:pPr>
      <w:r>
        <w:rPr>
          <w:rFonts w:hint="eastAsia" w:ascii="宋体" w:hAnsi="宋体" w:cs="宋体"/>
          <w:color w:val="333333"/>
        </w:rPr>
        <w:t>进一步整合政务公开资源，提高信息公开质量。同时，按照“以主动公开为主，依申请公开为补充”的要求，加大我局政府信息公开工作力度，根据不同时期的工作中心，着力从重点项目、重点环节入手，把群众关注的热点、难点问题作为信息公开的重点内容，及时予以公开，使公开内容更加规范、公开时间更加及时、公开渠道更加宽阔，切实保障广大群众的知情权、参与权和监督权。</w:t>
      </w:r>
    </w:p>
    <w:p>
      <w:pPr>
        <w:pStyle w:val="2"/>
        <w:widowControl/>
        <w:spacing w:after="240" w:line="432" w:lineRule="auto"/>
        <w:ind w:firstLine="420"/>
        <w:jc w:val="both"/>
        <w:rPr>
          <w:rFonts w:ascii="宋体" w:cs="Times New Roman"/>
        </w:rPr>
      </w:pPr>
      <w:r>
        <w:rPr>
          <w:rFonts w:hint="eastAsia" w:ascii="宋体" w:hAnsi="宋体" w:cs="宋体"/>
          <w:b/>
          <w:bCs/>
          <w:color w:val="333333"/>
        </w:rPr>
        <w:t>二、主动公开政府信息情况</w:t>
      </w:r>
    </w:p>
    <w:tbl>
      <w:tblPr>
        <w:tblStyle w:val="7"/>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113"/>
        <w:gridCol w:w="1875"/>
        <w:gridCol w:w="6"/>
        <w:gridCol w:w="126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信息内容</w:t>
            </w:r>
          </w:p>
        </w:tc>
        <w:tc>
          <w:tcPr>
            <w:tcW w:w="1875" w:type="dxa"/>
            <w:tcBorders>
              <w:top w:val="single" w:color="auto" w:sz="4" w:space="0"/>
              <w:left w:val="nil"/>
              <w:bottom w:val="single" w:color="auto" w:sz="4" w:space="0"/>
              <w:right w:val="single" w:color="auto" w:sz="4" w:space="0"/>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本年新</w:t>
            </w:r>
            <w:r>
              <w:rPr>
                <w:rFonts w:ascii="宋体" w:cs="Times New Roman"/>
                <w:color w:val="000000"/>
                <w:kern w:val="0"/>
                <w:sz w:val="20"/>
                <w:szCs w:val="20"/>
              </w:rPr>
              <w:br/>
            </w:r>
            <w:r>
              <w:rPr>
                <w:rFonts w:hint="eastAsia" w:ascii="宋体" w:hAnsi="宋体" w:cs="宋体"/>
                <w:color w:val="333333"/>
                <w:kern w:val="0"/>
                <w:sz w:val="20"/>
                <w:szCs w:val="20"/>
              </w:rPr>
              <w:t>制作数量</w:t>
            </w:r>
          </w:p>
        </w:tc>
        <w:tc>
          <w:tcPr>
            <w:tcW w:w="1271" w:type="dxa"/>
            <w:gridSpan w:val="2"/>
            <w:tcBorders>
              <w:top w:val="single" w:color="auto" w:sz="4" w:space="0"/>
              <w:left w:val="nil"/>
              <w:bottom w:val="single" w:color="auto" w:sz="4" w:space="0"/>
              <w:right w:val="single" w:color="auto" w:sz="4" w:space="0"/>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本年新</w:t>
            </w:r>
            <w:r>
              <w:rPr>
                <w:rFonts w:ascii="宋体" w:cs="Times New Roman"/>
                <w:color w:val="000000"/>
                <w:kern w:val="0"/>
                <w:sz w:val="20"/>
                <w:szCs w:val="20"/>
              </w:rPr>
              <w:br/>
            </w:r>
            <w:r>
              <w:rPr>
                <w:rFonts w:hint="eastAsia" w:ascii="宋体" w:hAnsi="宋体" w:cs="宋体"/>
                <w:color w:val="333333"/>
                <w:kern w:val="0"/>
                <w:sz w:val="20"/>
                <w:szCs w:val="20"/>
              </w:rPr>
              <w:t>公开数量</w:t>
            </w:r>
          </w:p>
        </w:tc>
        <w:tc>
          <w:tcPr>
            <w:tcW w:w="1881" w:type="dxa"/>
            <w:tcBorders>
              <w:top w:val="nil"/>
              <w:left w:val="nil"/>
              <w:bottom w:val="single" w:color="auto" w:sz="4" w:space="0"/>
              <w:right w:val="single" w:color="auto" w:sz="4" w:space="0"/>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规章</w:t>
            </w:r>
          </w:p>
        </w:tc>
        <w:tc>
          <w:tcPr>
            <w:tcW w:w="1875" w:type="dxa"/>
            <w:tcBorders>
              <w:top w:val="single" w:color="auto" w:sz="4" w:space="0"/>
              <w:left w:val="nil"/>
              <w:bottom w:val="single" w:color="auto" w:sz="4" w:space="0"/>
              <w:right w:val="single" w:color="auto" w:sz="4" w:space="0"/>
            </w:tcBorders>
            <w:vAlign w:val="center"/>
          </w:tcPr>
          <w:p>
            <w:pPr>
              <w:widowControl/>
              <w:spacing w:afterAutospacing="1" w:line="30" w:lineRule="atLeast"/>
              <w:jc w:val="left"/>
              <w:rPr>
                <w:rFonts w:cs="Times New Roman"/>
              </w:rPr>
            </w:pPr>
            <w:r>
              <w:t>0</w:t>
            </w:r>
          </w:p>
        </w:tc>
        <w:tc>
          <w:tcPr>
            <w:tcW w:w="1271" w:type="dxa"/>
            <w:gridSpan w:val="2"/>
            <w:tcBorders>
              <w:top w:val="single" w:color="auto" w:sz="4" w:space="0"/>
              <w:left w:val="nil"/>
              <w:bottom w:val="single" w:color="auto" w:sz="4" w:space="0"/>
              <w:right w:val="single" w:color="auto" w:sz="4" w:space="0"/>
            </w:tcBorders>
            <w:vAlign w:val="center"/>
          </w:tcPr>
          <w:p>
            <w:pPr>
              <w:widowControl/>
              <w:spacing w:afterAutospacing="1" w:line="30" w:lineRule="atLeast"/>
              <w:jc w:val="left"/>
              <w:rPr>
                <w:rFonts w:cs="Times New Roman"/>
              </w:rPr>
            </w:pPr>
            <w:r>
              <w:t>0</w:t>
            </w:r>
          </w:p>
        </w:tc>
        <w:tc>
          <w:tcPr>
            <w:tcW w:w="1881" w:type="dxa"/>
            <w:tcBorders>
              <w:top w:val="nil"/>
              <w:left w:val="nil"/>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　</w:t>
            </w:r>
            <w:r>
              <w:rPr>
                <w:rFonts w:ascii="宋体" w:hAnsi="宋体" w:cs="宋体"/>
                <w:color w:val="000000"/>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规范性文件</w:t>
            </w:r>
          </w:p>
        </w:tc>
        <w:tc>
          <w:tcPr>
            <w:tcW w:w="1875" w:type="dxa"/>
            <w:tcBorders>
              <w:top w:val="nil"/>
              <w:left w:val="nil"/>
              <w:bottom w:val="single" w:color="auto" w:sz="4" w:space="0"/>
              <w:right w:val="single" w:color="auto" w:sz="4" w:space="0"/>
            </w:tcBorders>
            <w:vAlign w:val="center"/>
          </w:tcPr>
          <w:p>
            <w:pPr>
              <w:widowControl/>
              <w:spacing w:afterAutospacing="1" w:line="30" w:lineRule="atLeast"/>
              <w:jc w:val="left"/>
              <w:rPr>
                <w:rFonts w:cs="Times New Roman"/>
              </w:rPr>
            </w:pPr>
            <w:r>
              <w:t>0</w:t>
            </w:r>
          </w:p>
        </w:tc>
        <w:tc>
          <w:tcPr>
            <w:tcW w:w="1271" w:type="dxa"/>
            <w:gridSpan w:val="2"/>
            <w:tcBorders>
              <w:top w:val="nil"/>
              <w:left w:val="nil"/>
              <w:bottom w:val="single" w:color="auto" w:sz="4" w:space="0"/>
              <w:right w:val="single" w:color="auto" w:sz="4" w:space="0"/>
            </w:tcBorders>
            <w:vAlign w:val="center"/>
          </w:tcPr>
          <w:p>
            <w:pPr>
              <w:widowControl/>
              <w:spacing w:afterAutospacing="1" w:line="30" w:lineRule="atLeast"/>
              <w:jc w:val="left"/>
              <w:rPr>
                <w:rFonts w:cs="Times New Roman"/>
              </w:rPr>
            </w:pPr>
            <w:r>
              <w:t>0</w:t>
            </w:r>
          </w:p>
        </w:tc>
        <w:tc>
          <w:tcPr>
            <w:tcW w:w="1881" w:type="dxa"/>
            <w:tcBorders>
              <w:top w:val="nil"/>
              <w:left w:val="nil"/>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　</w:t>
            </w:r>
            <w:r>
              <w:rPr>
                <w:rFonts w:ascii="宋体" w:hAnsi="宋体" w:cs="宋体"/>
                <w:color w:val="000000"/>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信息内容</w:t>
            </w:r>
          </w:p>
        </w:tc>
        <w:tc>
          <w:tcPr>
            <w:tcW w:w="1875" w:type="dxa"/>
            <w:tcBorders>
              <w:top w:val="single" w:color="auto" w:sz="4" w:space="0"/>
              <w:left w:val="nil"/>
              <w:bottom w:val="single" w:color="auto" w:sz="4" w:space="0"/>
              <w:right w:val="single" w:color="auto" w:sz="4" w:space="0"/>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上一年项目数量</w:t>
            </w:r>
          </w:p>
        </w:tc>
        <w:tc>
          <w:tcPr>
            <w:tcW w:w="1271" w:type="dxa"/>
            <w:gridSpan w:val="2"/>
            <w:tcBorders>
              <w:top w:val="single" w:color="auto" w:sz="4" w:space="0"/>
              <w:left w:val="nil"/>
              <w:bottom w:val="single" w:color="auto" w:sz="4" w:space="0"/>
              <w:right w:val="single" w:color="auto" w:sz="4" w:space="0"/>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c>
          <w:tcPr>
            <w:tcW w:w="1881" w:type="dxa"/>
            <w:tcBorders>
              <w:top w:val="nil"/>
              <w:left w:val="nil"/>
              <w:bottom w:val="single" w:color="auto" w:sz="4" w:space="0"/>
              <w:right w:val="single" w:color="auto" w:sz="4" w:space="0"/>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行政许可</w:t>
            </w:r>
          </w:p>
        </w:tc>
        <w:tc>
          <w:tcPr>
            <w:tcW w:w="1881" w:type="dxa"/>
            <w:gridSpan w:val="2"/>
            <w:tcBorders>
              <w:top w:val="nil"/>
              <w:left w:val="nil"/>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1265" w:type="dxa"/>
            <w:tcBorders>
              <w:top w:val="nil"/>
              <w:left w:val="nil"/>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1881" w:type="dxa"/>
            <w:tcBorders>
              <w:top w:val="nil"/>
              <w:left w:val="nil"/>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　</w:t>
            </w:r>
            <w:r>
              <w:rPr>
                <w:rFonts w:ascii="宋体" w:hAnsi="宋体" w:cs="宋体"/>
                <w:color w:val="000000"/>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其他对外管理服务事项</w:t>
            </w:r>
          </w:p>
        </w:tc>
        <w:tc>
          <w:tcPr>
            <w:tcW w:w="1881" w:type="dxa"/>
            <w:gridSpan w:val="2"/>
            <w:tcBorders>
              <w:top w:val="nil"/>
              <w:left w:val="nil"/>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1265" w:type="dxa"/>
            <w:tcBorders>
              <w:top w:val="nil"/>
              <w:left w:val="nil"/>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1881" w:type="dxa"/>
            <w:tcBorders>
              <w:top w:val="nil"/>
              <w:left w:val="nil"/>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　</w:t>
            </w:r>
            <w:r>
              <w:rPr>
                <w:rFonts w:ascii="宋体" w:hAnsi="宋体" w:cs="宋体"/>
                <w:color w:val="000000"/>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信息内容</w:t>
            </w:r>
          </w:p>
        </w:tc>
        <w:tc>
          <w:tcPr>
            <w:tcW w:w="1875" w:type="dxa"/>
            <w:tcBorders>
              <w:top w:val="single" w:color="auto" w:sz="4" w:space="0"/>
              <w:left w:val="nil"/>
              <w:bottom w:val="single" w:color="auto" w:sz="4" w:space="0"/>
              <w:right w:val="single" w:color="auto" w:sz="4" w:space="0"/>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上一年项目数量</w:t>
            </w:r>
          </w:p>
        </w:tc>
        <w:tc>
          <w:tcPr>
            <w:tcW w:w="1271" w:type="dxa"/>
            <w:gridSpan w:val="2"/>
            <w:tcBorders>
              <w:top w:val="single" w:color="auto" w:sz="4" w:space="0"/>
              <w:left w:val="nil"/>
              <w:bottom w:val="single" w:color="auto" w:sz="4" w:space="0"/>
              <w:right w:val="single" w:color="auto" w:sz="4" w:space="0"/>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c>
          <w:tcPr>
            <w:tcW w:w="1881" w:type="dxa"/>
            <w:tcBorders>
              <w:top w:val="nil"/>
              <w:left w:val="nil"/>
              <w:bottom w:val="single" w:color="auto" w:sz="4" w:space="0"/>
              <w:right w:val="single" w:color="auto" w:sz="4" w:space="0"/>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行政处罚</w:t>
            </w:r>
          </w:p>
        </w:tc>
        <w:tc>
          <w:tcPr>
            <w:tcW w:w="1881" w:type="dxa"/>
            <w:gridSpan w:val="2"/>
            <w:tcBorders>
              <w:top w:val="single" w:color="auto" w:sz="4" w:space="0"/>
              <w:left w:val="nil"/>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1265" w:type="dxa"/>
            <w:tcBorders>
              <w:top w:val="single" w:color="auto" w:sz="4" w:space="0"/>
              <w:left w:val="nil"/>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1881" w:type="dxa"/>
            <w:tcBorders>
              <w:top w:val="nil"/>
              <w:left w:val="nil"/>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　</w:t>
            </w:r>
            <w:r>
              <w:rPr>
                <w:rFonts w:ascii="宋体" w:hAnsi="宋体" w:cs="宋体"/>
                <w:color w:val="000000"/>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行政强制</w:t>
            </w:r>
          </w:p>
        </w:tc>
        <w:tc>
          <w:tcPr>
            <w:tcW w:w="1881" w:type="dxa"/>
            <w:gridSpan w:val="2"/>
            <w:tcBorders>
              <w:top w:val="nil"/>
              <w:left w:val="nil"/>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1265" w:type="dxa"/>
            <w:tcBorders>
              <w:top w:val="nil"/>
              <w:left w:val="nil"/>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1881" w:type="dxa"/>
            <w:tcBorders>
              <w:top w:val="nil"/>
              <w:left w:val="nil"/>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　</w:t>
            </w:r>
            <w:r>
              <w:rPr>
                <w:rFonts w:ascii="宋体" w:hAnsi="宋体" w:cs="宋体"/>
                <w:color w:val="000000"/>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上一年项目数量</w:t>
            </w:r>
          </w:p>
        </w:tc>
        <w:tc>
          <w:tcPr>
            <w:tcW w:w="3146" w:type="dxa"/>
            <w:gridSpan w:val="2"/>
            <w:tcBorders>
              <w:top w:val="single" w:color="auto" w:sz="4" w:space="0"/>
              <w:left w:val="nil"/>
              <w:bottom w:val="single" w:color="auto" w:sz="4" w:space="0"/>
              <w:right w:val="single" w:color="000000" w:sz="4" w:space="0"/>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行政事业性收费</w:t>
            </w:r>
          </w:p>
        </w:tc>
        <w:tc>
          <w:tcPr>
            <w:tcW w:w="1881" w:type="dxa"/>
            <w:gridSpan w:val="2"/>
            <w:tcBorders>
              <w:top w:val="nil"/>
              <w:left w:val="nil"/>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3146" w:type="dxa"/>
            <w:gridSpan w:val="2"/>
            <w:tcBorders>
              <w:top w:val="single" w:color="auto" w:sz="4" w:space="0"/>
              <w:left w:val="nil"/>
              <w:bottom w:val="single" w:color="auto" w:sz="4" w:space="0"/>
              <w:right w:val="single" w:color="000000" w:sz="4" w:space="0"/>
            </w:tcBorders>
            <w:vAlign w:val="center"/>
          </w:tcPr>
          <w:p>
            <w:pPr>
              <w:widowControl/>
              <w:spacing w:afterAutospacing="1" w:line="30" w:lineRule="atLeast"/>
              <w:jc w:val="center"/>
              <w:rPr>
                <w:rFonts w:cs="Times New Roman"/>
              </w:rPr>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4" w:space="0"/>
              <w:right w:val="single" w:color="auto" w:sz="4" w:space="0"/>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采购项目数量</w:t>
            </w:r>
          </w:p>
        </w:tc>
        <w:tc>
          <w:tcPr>
            <w:tcW w:w="3146" w:type="dxa"/>
            <w:gridSpan w:val="2"/>
            <w:tcBorders>
              <w:top w:val="single" w:color="auto" w:sz="4" w:space="0"/>
              <w:left w:val="nil"/>
              <w:bottom w:val="single" w:color="auto" w:sz="4" w:space="0"/>
              <w:right w:val="single" w:color="000000" w:sz="4" w:space="0"/>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政府集中采购</w:t>
            </w:r>
          </w:p>
        </w:tc>
        <w:tc>
          <w:tcPr>
            <w:tcW w:w="1881" w:type="dxa"/>
            <w:gridSpan w:val="2"/>
            <w:tcBorders>
              <w:top w:val="nil"/>
              <w:left w:val="nil"/>
              <w:bottom w:val="single" w:color="auto" w:sz="4" w:space="0"/>
              <w:right w:val="single" w:color="auto" w:sz="4" w:space="0"/>
            </w:tcBorders>
            <w:vAlign w:val="center"/>
          </w:tcPr>
          <w:p>
            <w:pPr>
              <w:widowControl/>
              <w:spacing w:afterAutospacing="1" w:line="30" w:lineRule="atLeast"/>
              <w:jc w:val="left"/>
              <w:rPr>
                <w:rFonts w:cs="Times New Roman"/>
              </w:rPr>
            </w:pPr>
            <w:r>
              <w:rPr>
                <w:rFonts w:hint="eastAsia" w:ascii="宋体" w:hAnsi="宋体" w:cs="宋体"/>
                <w:color w:val="000000"/>
                <w:kern w:val="0"/>
                <w:sz w:val="20"/>
                <w:szCs w:val="20"/>
              </w:rPr>
              <w:t>　</w:t>
            </w:r>
            <w:r>
              <w:rPr>
                <w:rFonts w:ascii="宋体" w:hAnsi="宋体" w:cs="宋体"/>
                <w:color w:val="000000"/>
                <w:kern w:val="0"/>
                <w:sz w:val="20"/>
                <w:szCs w:val="20"/>
              </w:rPr>
              <w:t>7</w:t>
            </w:r>
          </w:p>
        </w:tc>
        <w:tc>
          <w:tcPr>
            <w:tcW w:w="3146" w:type="dxa"/>
            <w:gridSpan w:val="2"/>
            <w:tcBorders>
              <w:top w:val="single" w:color="auto" w:sz="4" w:space="0"/>
              <w:left w:val="nil"/>
              <w:bottom w:val="single" w:color="auto" w:sz="4" w:space="0"/>
              <w:right w:val="single" w:color="000000" w:sz="4" w:space="0"/>
            </w:tcBorders>
            <w:vAlign w:val="center"/>
          </w:tcPr>
          <w:p>
            <w:pPr>
              <w:jc w:val="left"/>
              <w:rPr>
                <w:rFonts w:ascii="宋体" w:cs="Times New Roman"/>
                <w:color w:val="333333"/>
              </w:rPr>
            </w:pPr>
            <w:r>
              <w:rPr>
                <w:rFonts w:ascii="宋体" w:cs="宋体"/>
                <w:color w:val="333333"/>
              </w:rPr>
              <w:t>69969.73</w:t>
            </w:r>
            <w:r>
              <w:rPr>
                <w:rFonts w:hint="eastAsia" w:ascii="宋体" w:cs="宋体"/>
                <w:color w:val="333333"/>
              </w:rPr>
              <w:t>元</w:t>
            </w:r>
          </w:p>
        </w:tc>
      </w:tr>
    </w:tbl>
    <w:p>
      <w:pPr>
        <w:pStyle w:val="2"/>
        <w:widowControl/>
        <w:spacing w:after="240" w:line="432" w:lineRule="auto"/>
        <w:ind w:firstLine="420"/>
        <w:jc w:val="both"/>
        <w:rPr>
          <w:rFonts w:ascii="宋体" w:cs="Times New Roman"/>
        </w:rPr>
      </w:pPr>
      <w:r>
        <w:rPr>
          <w:rFonts w:hint="eastAsia" w:ascii="宋体" w:hAnsi="宋体" w:cs="宋体"/>
          <w:b/>
          <w:bCs/>
          <w:color w:val="333333"/>
        </w:rPr>
        <w:t>三、收到和处理政府信息公开申请情况</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94"/>
        <w:gridCol w:w="855"/>
        <w:gridCol w:w="2130"/>
        <w:gridCol w:w="825"/>
        <w:gridCol w:w="765"/>
        <w:gridCol w:w="765"/>
        <w:gridCol w:w="825"/>
        <w:gridCol w:w="990"/>
        <w:gridCol w:w="72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479" w:type="dxa"/>
            <w:gridSpan w:val="3"/>
            <w:vMerge w:val="restart"/>
            <w:vAlign w:val="center"/>
          </w:tcPr>
          <w:p>
            <w:pPr>
              <w:widowControl/>
              <w:spacing w:afterAutospacing="1" w:line="30" w:lineRule="atLeast"/>
              <w:jc w:val="center"/>
              <w:rPr>
                <w:rFonts w:cs="Times New Roman"/>
              </w:rPr>
            </w:pPr>
            <w:r>
              <w:rPr>
                <w:rFonts w:hint="eastAsia" w:cs="宋体"/>
                <w:color w:val="333333"/>
                <w:sz w:val="20"/>
                <w:szCs w:val="20"/>
              </w:rPr>
              <w:t>（本列数据的勾稽关系为：第一项加第二项之和，等于第三项加第四项之和）</w:t>
            </w:r>
          </w:p>
        </w:tc>
        <w:tc>
          <w:tcPr>
            <w:tcW w:w="5592" w:type="dxa"/>
            <w:gridSpan w:val="7"/>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479" w:type="dxa"/>
            <w:gridSpan w:val="3"/>
            <w:vMerge w:val="continue"/>
            <w:vAlign w:val="center"/>
          </w:tcPr>
          <w:p>
            <w:pPr>
              <w:jc w:val="left"/>
              <w:rPr>
                <w:rFonts w:ascii="宋体" w:cs="Times New Roman"/>
                <w:color w:val="333333"/>
              </w:rPr>
            </w:pPr>
          </w:p>
        </w:tc>
        <w:tc>
          <w:tcPr>
            <w:tcW w:w="825" w:type="dxa"/>
            <w:vMerge w:val="restart"/>
            <w:tcBorders>
              <w:top w:val="nil"/>
              <w:left w:val="nil"/>
            </w:tcBorders>
            <w:vAlign w:val="center"/>
          </w:tcPr>
          <w:p>
            <w:pPr>
              <w:widowControl/>
              <w:spacing w:afterAutospacing="1" w:line="30" w:lineRule="atLeast"/>
              <w:jc w:val="center"/>
              <w:rPr>
                <w:rFonts w:cs="Times New Roman"/>
              </w:rPr>
            </w:pPr>
            <w:r>
              <w:rPr>
                <w:rFonts w:hint="eastAsia" w:cs="宋体"/>
                <w:color w:val="333333"/>
                <w:sz w:val="20"/>
                <w:szCs w:val="20"/>
              </w:rPr>
              <w:t>自然人</w:t>
            </w:r>
          </w:p>
        </w:tc>
        <w:tc>
          <w:tcPr>
            <w:tcW w:w="4065" w:type="dxa"/>
            <w:gridSpan w:val="5"/>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法人或其他组织</w:t>
            </w:r>
          </w:p>
        </w:tc>
        <w:tc>
          <w:tcPr>
            <w:tcW w:w="702" w:type="dxa"/>
            <w:vMerge w:val="restart"/>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479" w:type="dxa"/>
            <w:gridSpan w:val="3"/>
            <w:vMerge w:val="continue"/>
            <w:vAlign w:val="center"/>
          </w:tcPr>
          <w:p>
            <w:pPr>
              <w:jc w:val="left"/>
              <w:rPr>
                <w:rFonts w:ascii="宋体" w:cs="Times New Roman"/>
                <w:color w:val="333333"/>
              </w:rPr>
            </w:pPr>
          </w:p>
        </w:tc>
        <w:tc>
          <w:tcPr>
            <w:tcW w:w="825" w:type="dxa"/>
            <w:vMerge w:val="continue"/>
            <w:tcBorders>
              <w:top w:val="nil"/>
              <w:left w:val="nil"/>
            </w:tcBorders>
            <w:vAlign w:val="center"/>
          </w:tcPr>
          <w:p>
            <w:pPr>
              <w:jc w:val="left"/>
              <w:rPr>
                <w:rFonts w:ascii="宋体" w:cs="Times New Roman"/>
                <w:color w:val="333333"/>
              </w:rPr>
            </w:pPr>
          </w:p>
        </w:tc>
        <w:tc>
          <w:tcPr>
            <w:tcW w:w="765" w:type="dxa"/>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商业企业</w:t>
            </w:r>
          </w:p>
        </w:tc>
        <w:tc>
          <w:tcPr>
            <w:tcW w:w="765" w:type="dxa"/>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科研机构</w:t>
            </w:r>
          </w:p>
        </w:tc>
        <w:tc>
          <w:tcPr>
            <w:tcW w:w="825" w:type="dxa"/>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社会公益组织</w:t>
            </w:r>
          </w:p>
        </w:tc>
        <w:tc>
          <w:tcPr>
            <w:tcW w:w="990" w:type="dxa"/>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法律服务机构</w:t>
            </w:r>
          </w:p>
        </w:tc>
        <w:tc>
          <w:tcPr>
            <w:tcW w:w="720" w:type="dxa"/>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其他</w:t>
            </w:r>
          </w:p>
        </w:tc>
        <w:tc>
          <w:tcPr>
            <w:tcW w:w="702" w:type="dxa"/>
            <w:vMerge w:val="continue"/>
            <w:tcBorders>
              <w:left w:val="nil"/>
            </w:tcBorders>
            <w:vAlign w:val="center"/>
          </w:tcPr>
          <w:p>
            <w:pPr>
              <w:jc w:val="left"/>
              <w:rPr>
                <w:rFonts w:ascii="宋体"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479" w:type="dxa"/>
            <w:gridSpan w:val="3"/>
            <w:vAlign w:val="center"/>
          </w:tcPr>
          <w:p>
            <w:pPr>
              <w:widowControl/>
              <w:spacing w:afterAutospacing="1" w:line="30" w:lineRule="atLeast"/>
              <w:jc w:val="left"/>
              <w:rPr>
                <w:rFonts w:cs="Times New Roman"/>
              </w:rPr>
            </w:pPr>
            <w:r>
              <w:rPr>
                <w:rFonts w:hint="eastAsia" w:cs="宋体"/>
                <w:color w:val="333333"/>
                <w:sz w:val="20"/>
                <w:szCs w:val="20"/>
              </w:rPr>
              <w:t>一、本年新收政府信息公开申请数量</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479" w:type="dxa"/>
            <w:gridSpan w:val="3"/>
            <w:vAlign w:val="center"/>
          </w:tcPr>
          <w:p>
            <w:pPr>
              <w:widowControl/>
              <w:spacing w:afterAutospacing="1" w:line="30" w:lineRule="atLeast"/>
              <w:jc w:val="left"/>
              <w:rPr>
                <w:rFonts w:cs="Times New Roman"/>
              </w:rPr>
            </w:pPr>
            <w:r>
              <w:rPr>
                <w:rFonts w:hint="eastAsia" w:cs="宋体"/>
                <w:color w:val="333333"/>
                <w:sz w:val="20"/>
                <w:szCs w:val="20"/>
              </w:rPr>
              <w:t>二、上年结转政府信息公开申请数量</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restart"/>
            <w:tcBorders>
              <w:top w:val="nil"/>
            </w:tcBorders>
            <w:vAlign w:val="center"/>
          </w:tcPr>
          <w:p>
            <w:pPr>
              <w:widowControl/>
              <w:spacing w:afterAutospacing="1" w:line="30" w:lineRule="atLeast"/>
              <w:jc w:val="center"/>
              <w:rPr>
                <w:rFonts w:cs="Times New Roman"/>
              </w:rPr>
            </w:pPr>
            <w:r>
              <w:rPr>
                <w:rFonts w:hint="eastAsia" w:cs="宋体"/>
                <w:color w:val="333333"/>
                <w:sz w:val="20"/>
                <w:szCs w:val="20"/>
              </w:rPr>
              <w:t>三、本年度办理结果</w:t>
            </w:r>
          </w:p>
        </w:tc>
        <w:tc>
          <w:tcPr>
            <w:tcW w:w="2985" w:type="dxa"/>
            <w:gridSpan w:val="2"/>
            <w:tcBorders>
              <w:left w:val="nil"/>
            </w:tcBorders>
            <w:vAlign w:val="center"/>
          </w:tcPr>
          <w:p>
            <w:pPr>
              <w:widowControl/>
              <w:spacing w:afterAutospacing="1" w:line="30" w:lineRule="atLeast"/>
              <w:jc w:val="left"/>
              <w:rPr>
                <w:rFonts w:cs="Times New Roman"/>
              </w:rPr>
            </w:pPr>
            <w:r>
              <w:rPr>
                <w:rFonts w:hint="eastAsia" w:ascii="楷体" w:hAnsi="楷体" w:eastAsia="楷体" w:cs="楷体"/>
                <w:color w:val="333333"/>
                <w:sz w:val="20"/>
                <w:szCs w:val="20"/>
              </w:rPr>
              <w:t>（一）予以公开</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2985" w:type="dxa"/>
            <w:gridSpan w:val="2"/>
            <w:tcBorders>
              <w:left w:val="nil"/>
            </w:tcBorders>
            <w:vAlign w:val="center"/>
          </w:tcPr>
          <w:p>
            <w:pPr>
              <w:widowControl/>
              <w:spacing w:afterAutospacing="1" w:line="30" w:lineRule="atLeast"/>
              <w:jc w:val="left"/>
              <w:rPr>
                <w:rFonts w:cs="Times New Roman"/>
              </w:rPr>
            </w:pPr>
            <w:r>
              <w:rPr>
                <w:rFonts w:hint="eastAsia" w:ascii="楷体" w:hAnsi="楷体" w:eastAsia="楷体" w:cs="楷体"/>
                <w:color w:val="333333"/>
                <w:sz w:val="20"/>
                <w:szCs w:val="20"/>
              </w:rPr>
              <w:t>（二）部分公开（区分处理的，只计这一情形，不计其他情形）</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855" w:type="dxa"/>
            <w:vMerge w:val="restart"/>
            <w:tcBorders>
              <w:top w:val="nil"/>
              <w:left w:val="nil"/>
            </w:tcBorders>
            <w:vAlign w:val="center"/>
          </w:tcPr>
          <w:p>
            <w:pPr>
              <w:widowControl/>
              <w:spacing w:afterAutospacing="1" w:line="30" w:lineRule="atLeast"/>
              <w:jc w:val="left"/>
              <w:rPr>
                <w:rFonts w:cs="Times New Roman"/>
              </w:rPr>
            </w:pPr>
            <w:r>
              <w:rPr>
                <w:rFonts w:hint="eastAsia" w:ascii="楷体" w:hAnsi="楷体" w:eastAsia="楷体" w:cs="楷体"/>
                <w:color w:val="333333"/>
                <w:sz w:val="20"/>
                <w:szCs w:val="20"/>
              </w:rPr>
              <w:t>（三）不予公开</w:t>
            </w:r>
          </w:p>
        </w:tc>
        <w:tc>
          <w:tcPr>
            <w:tcW w:w="2130" w:type="dxa"/>
            <w:tcBorders>
              <w:left w:val="nil"/>
            </w:tcBorders>
            <w:vAlign w:val="center"/>
          </w:tcPr>
          <w:p>
            <w:pPr>
              <w:widowControl/>
              <w:spacing w:afterAutospacing="1" w:line="30" w:lineRule="atLeast"/>
              <w:jc w:val="left"/>
              <w:rPr>
                <w:rFonts w:cs="Times New Roman"/>
              </w:rPr>
            </w:pPr>
            <w:r>
              <w:rPr>
                <w:rFonts w:ascii="楷体" w:hAnsi="楷体" w:eastAsia="楷体" w:cs="楷体"/>
                <w:color w:val="333333"/>
                <w:sz w:val="20"/>
                <w:szCs w:val="20"/>
              </w:rPr>
              <w:t>1.</w:t>
            </w:r>
            <w:r>
              <w:rPr>
                <w:rFonts w:hint="eastAsia" w:ascii="楷体" w:hAnsi="楷体" w:eastAsia="楷体" w:cs="楷体"/>
                <w:color w:val="333333"/>
                <w:sz w:val="20"/>
                <w:szCs w:val="20"/>
              </w:rPr>
              <w:t>属于国家秘密</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855" w:type="dxa"/>
            <w:vMerge w:val="continue"/>
            <w:tcBorders>
              <w:top w:val="nil"/>
              <w:left w:val="nil"/>
            </w:tcBorders>
            <w:vAlign w:val="center"/>
          </w:tcPr>
          <w:p>
            <w:pPr>
              <w:jc w:val="left"/>
              <w:rPr>
                <w:rFonts w:ascii="宋体" w:cs="Times New Roman"/>
                <w:color w:val="333333"/>
              </w:rPr>
            </w:pPr>
          </w:p>
        </w:tc>
        <w:tc>
          <w:tcPr>
            <w:tcW w:w="2130" w:type="dxa"/>
            <w:tcBorders>
              <w:left w:val="nil"/>
            </w:tcBorders>
            <w:vAlign w:val="center"/>
          </w:tcPr>
          <w:p>
            <w:pPr>
              <w:widowControl/>
              <w:spacing w:afterAutospacing="1" w:line="30" w:lineRule="atLeast"/>
              <w:jc w:val="left"/>
              <w:rPr>
                <w:rFonts w:cs="Times New Roman"/>
              </w:rPr>
            </w:pPr>
            <w:r>
              <w:rPr>
                <w:rFonts w:ascii="楷体" w:hAnsi="楷体" w:eastAsia="楷体" w:cs="楷体"/>
                <w:color w:val="333333"/>
                <w:sz w:val="20"/>
                <w:szCs w:val="20"/>
              </w:rPr>
              <w:t>2.</w:t>
            </w:r>
            <w:r>
              <w:rPr>
                <w:rFonts w:hint="eastAsia" w:ascii="楷体" w:hAnsi="楷体" w:eastAsia="楷体" w:cs="楷体"/>
                <w:color w:val="333333"/>
                <w:sz w:val="20"/>
                <w:szCs w:val="20"/>
              </w:rPr>
              <w:t>其他法律行政法规禁止公开</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855" w:type="dxa"/>
            <w:vMerge w:val="continue"/>
            <w:tcBorders>
              <w:top w:val="nil"/>
              <w:left w:val="nil"/>
            </w:tcBorders>
            <w:vAlign w:val="center"/>
          </w:tcPr>
          <w:p>
            <w:pPr>
              <w:jc w:val="left"/>
              <w:rPr>
                <w:rFonts w:ascii="宋体" w:cs="Times New Roman"/>
                <w:color w:val="333333"/>
              </w:rPr>
            </w:pPr>
          </w:p>
        </w:tc>
        <w:tc>
          <w:tcPr>
            <w:tcW w:w="2130" w:type="dxa"/>
            <w:tcBorders>
              <w:left w:val="nil"/>
            </w:tcBorders>
            <w:vAlign w:val="center"/>
          </w:tcPr>
          <w:p>
            <w:pPr>
              <w:widowControl/>
              <w:spacing w:afterAutospacing="1" w:line="30" w:lineRule="atLeast"/>
              <w:jc w:val="left"/>
              <w:rPr>
                <w:rFonts w:cs="Times New Roman"/>
              </w:rPr>
            </w:pPr>
            <w:r>
              <w:rPr>
                <w:rFonts w:ascii="楷体" w:hAnsi="楷体" w:eastAsia="楷体" w:cs="楷体"/>
                <w:color w:val="333333"/>
                <w:sz w:val="20"/>
                <w:szCs w:val="20"/>
              </w:rPr>
              <w:t>3.</w:t>
            </w:r>
            <w:r>
              <w:rPr>
                <w:rFonts w:hint="eastAsia" w:ascii="楷体" w:hAnsi="楷体" w:eastAsia="楷体" w:cs="楷体"/>
                <w:color w:val="333333"/>
                <w:sz w:val="20"/>
                <w:szCs w:val="20"/>
              </w:rPr>
              <w:t>危及“三安全一稳定”</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855" w:type="dxa"/>
            <w:vMerge w:val="continue"/>
            <w:tcBorders>
              <w:top w:val="nil"/>
              <w:left w:val="nil"/>
            </w:tcBorders>
            <w:vAlign w:val="center"/>
          </w:tcPr>
          <w:p>
            <w:pPr>
              <w:jc w:val="left"/>
              <w:rPr>
                <w:rFonts w:ascii="宋体" w:cs="Times New Roman"/>
                <w:color w:val="333333"/>
              </w:rPr>
            </w:pPr>
          </w:p>
        </w:tc>
        <w:tc>
          <w:tcPr>
            <w:tcW w:w="2130" w:type="dxa"/>
            <w:tcBorders>
              <w:left w:val="nil"/>
            </w:tcBorders>
            <w:vAlign w:val="center"/>
          </w:tcPr>
          <w:p>
            <w:pPr>
              <w:widowControl/>
              <w:spacing w:afterAutospacing="1" w:line="30" w:lineRule="atLeast"/>
              <w:jc w:val="left"/>
              <w:rPr>
                <w:rFonts w:cs="Times New Roman"/>
              </w:rPr>
            </w:pPr>
            <w:r>
              <w:rPr>
                <w:rFonts w:ascii="楷体" w:hAnsi="楷体" w:eastAsia="楷体" w:cs="楷体"/>
                <w:color w:val="333333"/>
                <w:sz w:val="20"/>
                <w:szCs w:val="20"/>
              </w:rPr>
              <w:t>4.</w:t>
            </w:r>
            <w:r>
              <w:rPr>
                <w:rFonts w:hint="eastAsia" w:ascii="楷体" w:hAnsi="楷体" w:eastAsia="楷体" w:cs="楷体"/>
                <w:color w:val="333333"/>
                <w:sz w:val="20"/>
                <w:szCs w:val="20"/>
              </w:rPr>
              <w:t>保护第三方合法权益</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855" w:type="dxa"/>
            <w:vMerge w:val="continue"/>
            <w:tcBorders>
              <w:top w:val="nil"/>
              <w:left w:val="nil"/>
            </w:tcBorders>
            <w:vAlign w:val="center"/>
          </w:tcPr>
          <w:p>
            <w:pPr>
              <w:jc w:val="left"/>
              <w:rPr>
                <w:rFonts w:ascii="宋体" w:cs="Times New Roman"/>
                <w:color w:val="333333"/>
              </w:rPr>
            </w:pPr>
          </w:p>
        </w:tc>
        <w:tc>
          <w:tcPr>
            <w:tcW w:w="2130" w:type="dxa"/>
            <w:tcBorders>
              <w:left w:val="nil"/>
            </w:tcBorders>
            <w:vAlign w:val="center"/>
          </w:tcPr>
          <w:p>
            <w:pPr>
              <w:widowControl/>
              <w:spacing w:afterAutospacing="1" w:line="30" w:lineRule="atLeast"/>
              <w:jc w:val="left"/>
              <w:rPr>
                <w:rFonts w:cs="Times New Roman"/>
              </w:rPr>
            </w:pPr>
            <w:r>
              <w:rPr>
                <w:rFonts w:ascii="楷体" w:hAnsi="楷体" w:eastAsia="楷体" w:cs="楷体"/>
                <w:color w:val="333333"/>
                <w:sz w:val="20"/>
                <w:szCs w:val="20"/>
              </w:rPr>
              <w:t>5.</w:t>
            </w:r>
            <w:r>
              <w:rPr>
                <w:rFonts w:hint="eastAsia" w:ascii="楷体" w:hAnsi="楷体" w:eastAsia="楷体" w:cs="楷体"/>
                <w:color w:val="333333"/>
                <w:sz w:val="20"/>
                <w:szCs w:val="20"/>
              </w:rPr>
              <w:t>属于三类内部事务信息</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855" w:type="dxa"/>
            <w:vMerge w:val="continue"/>
            <w:tcBorders>
              <w:top w:val="nil"/>
              <w:left w:val="nil"/>
            </w:tcBorders>
            <w:vAlign w:val="center"/>
          </w:tcPr>
          <w:p>
            <w:pPr>
              <w:jc w:val="left"/>
              <w:rPr>
                <w:rFonts w:ascii="宋体" w:cs="Times New Roman"/>
                <w:color w:val="333333"/>
              </w:rPr>
            </w:pPr>
          </w:p>
        </w:tc>
        <w:tc>
          <w:tcPr>
            <w:tcW w:w="2130" w:type="dxa"/>
            <w:tcBorders>
              <w:left w:val="nil"/>
            </w:tcBorders>
            <w:vAlign w:val="center"/>
          </w:tcPr>
          <w:p>
            <w:pPr>
              <w:widowControl/>
              <w:spacing w:afterAutospacing="1" w:line="30" w:lineRule="atLeast"/>
              <w:jc w:val="left"/>
              <w:rPr>
                <w:rFonts w:cs="Times New Roman"/>
              </w:rPr>
            </w:pPr>
            <w:r>
              <w:rPr>
                <w:rFonts w:ascii="楷体" w:hAnsi="楷体" w:eastAsia="楷体" w:cs="楷体"/>
                <w:color w:val="333333"/>
                <w:sz w:val="20"/>
                <w:szCs w:val="20"/>
              </w:rPr>
              <w:t>6.</w:t>
            </w:r>
            <w:r>
              <w:rPr>
                <w:rFonts w:hint="eastAsia" w:ascii="楷体" w:hAnsi="楷体" w:eastAsia="楷体" w:cs="楷体"/>
                <w:color w:val="333333"/>
                <w:sz w:val="20"/>
                <w:szCs w:val="20"/>
              </w:rPr>
              <w:t>属于四类过程性信息</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855" w:type="dxa"/>
            <w:vMerge w:val="continue"/>
            <w:tcBorders>
              <w:top w:val="nil"/>
              <w:left w:val="nil"/>
            </w:tcBorders>
            <w:vAlign w:val="center"/>
          </w:tcPr>
          <w:p>
            <w:pPr>
              <w:jc w:val="left"/>
              <w:rPr>
                <w:rFonts w:ascii="宋体" w:cs="Times New Roman"/>
                <w:color w:val="333333"/>
              </w:rPr>
            </w:pPr>
          </w:p>
        </w:tc>
        <w:tc>
          <w:tcPr>
            <w:tcW w:w="2130" w:type="dxa"/>
            <w:tcBorders>
              <w:left w:val="nil"/>
            </w:tcBorders>
            <w:vAlign w:val="center"/>
          </w:tcPr>
          <w:p>
            <w:pPr>
              <w:widowControl/>
              <w:spacing w:afterAutospacing="1" w:line="30" w:lineRule="atLeast"/>
              <w:jc w:val="left"/>
              <w:rPr>
                <w:rFonts w:cs="Times New Roman"/>
              </w:rPr>
            </w:pPr>
            <w:r>
              <w:rPr>
                <w:rFonts w:ascii="楷体" w:hAnsi="楷体" w:eastAsia="楷体" w:cs="楷体"/>
                <w:color w:val="333333"/>
                <w:sz w:val="20"/>
                <w:szCs w:val="20"/>
              </w:rPr>
              <w:t>7.</w:t>
            </w:r>
            <w:r>
              <w:rPr>
                <w:rFonts w:hint="eastAsia" w:ascii="楷体" w:hAnsi="楷体" w:eastAsia="楷体" w:cs="楷体"/>
                <w:color w:val="333333"/>
                <w:sz w:val="20"/>
                <w:szCs w:val="20"/>
              </w:rPr>
              <w:t>属于行政执法案卷</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855" w:type="dxa"/>
            <w:vMerge w:val="continue"/>
            <w:tcBorders>
              <w:top w:val="nil"/>
              <w:left w:val="nil"/>
            </w:tcBorders>
            <w:vAlign w:val="center"/>
          </w:tcPr>
          <w:p>
            <w:pPr>
              <w:jc w:val="left"/>
              <w:rPr>
                <w:rFonts w:ascii="宋体" w:cs="Times New Roman"/>
                <w:color w:val="333333"/>
              </w:rPr>
            </w:pPr>
          </w:p>
        </w:tc>
        <w:tc>
          <w:tcPr>
            <w:tcW w:w="2130" w:type="dxa"/>
            <w:tcBorders>
              <w:left w:val="nil"/>
            </w:tcBorders>
            <w:vAlign w:val="center"/>
          </w:tcPr>
          <w:p>
            <w:pPr>
              <w:widowControl/>
              <w:spacing w:afterAutospacing="1" w:line="30" w:lineRule="atLeast"/>
              <w:jc w:val="left"/>
              <w:rPr>
                <w:rFonts w:cs="Times New Roman"/>
              </w:rPr>
            </w:pPr>
            <w:r>
              <w:rPr>
                <w:rFonts w:ascii="楷体" w:hAnsi="楷体" w:eastAsia="楷体" w:cs="楷体"/>
                <w:color w:val="333333"/>
                <w:sz w:val="20"/>
                <w:szCs w:val="20"/>
              </w:rPr>
              <w:t>8.</w:t>
            </w:r>
            <w:r>
              <w:rPr>
                <w:rFonts w:hint="eastAsia" w:ascii="楷体" w:hAnsi="楷体" w:eastAsia="楷体" w:cs="楷体"/>
                <w:color w:val="333333"/>
                <w:sz w:val="20"/>
                <w:szCs w:val="20"/>
              </w:rPr>
              <w:t>属于行政查询事项</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855" w:type="dxa"/>
            <w:vMerge w:val="restart"/>
            <w:tcBorders>
              <w:top w:val="nil"/>
              <w:left w:val="nil"/>
            </w:tcBorders>
            <w:vAlign w:val="center"/>
          </w:tcPr>
          <w:p>
            <w:pPr>
              <w:widowControl/>
              <w:spacing w:afterAutospacing="1" w:line="30" w:lineRule="atLeast"/>
              <w:jc w:val="left"/>
              <w:rPr>
                <w:rFonts w:cs="Times New Roman"/>
              </w:rPr>
            </w:pPr>
            <w:r>
              <w:rPr>
                <w:rFonts w:hint="eastAsia" w:ascii="楷体" w:hAnsi="楷体" w:eastAsia="楷体" w:cs="楷体"/>
                <w:color w:val="333333"/>
                <w:sz w:val="20"/>
                <w:szCs w:val="20"/>
              </w:rPr>
              <w:t>（四）无法提供</w:t>
            </w:r>
          </w:p>
        </w:tc>
        <w:tc>
          <w:tcPr>
            <w:tcW w:w="2130" w:type="dxa"/>
            <w:tcBorders>
              <w:left w:val="nil"/>
            </w:tcBorders>
            <w:vAlign w:val="center"/>
          </w:tcPr>
          <w:p>
            <w:pPr>
              <w:widowControl/>
              <w:spacing w:afterAutospacing="1" w:line="30" w:lineRule="atLeast"/>
              <w:jc w:val="left"/>
              <w:rPr>
                <w:rFonts w:cs="Times New Roman"/>
              </w:rPr>
            </w:pPr>
            <w:r>
              <w:rPr>
                <w:rFonts w:ascii="楷体" w:hAnsi="楷体" w:eastAsia="楷体" w:cs="楷体"/>
                <w:color w:val="333333"/>
                <w:sz w:val="20"/>
                <w:szCs w:val="20"/>
              </w:rPr>
              <w:t>1.</w:t>
            </w:r>
            <w:r>
              <w:rPr>
                <w:rFonts w:hint="eastAsia" w:ascii="楷体" w:hAnsi="楷体" w:eastAsia="楷体" w:cs="楷体"/>
                <w:color w:val="333333"/>
                <w:sz w:val="20"/>
                <w:szCs w:val="20"/>
              </w:rPr>
              <w:t>本机关不掌握相关政府信息</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855" w:type="dxa"/>
            <w:vMerge w:val="continue"/>
            <w:tcBorders>
              <w:top w:val="nil"/>
              <w:left w:val="nil"/>
            </w:tcBorders>
            <w:vAlign w:val="center"/>
          </w:tcPr>
          <w:p>
            <w:pPr>
              <w:jc w:val="left"/>
              <w:rPr>
                <w:rFonts w:ascii="宋体" w:cs="Times New Roman"/>
                <w:color w:val="333333"/>
              </w:rPr>
            </w:pPr>
          </w:p>
        </w:tc>
        <w:tc>
          <w:tcPr>
            <w:tcW w:w="2130" w:type="dxa"/>
            <w:tcBorders>
              <w:left w:val="nil"/>
            </w:tcBorders>
            <w:vAlign w:val="center"/>
          </w:tcPr>
          <w:p>
            <w:pPr>
              <w:widowControl/>
              <w:spacing w:afterAutospacing="1" w:line="30" w:lineRule="atLeast"/>
              <w:jc w:val="left"/>
              <w:rPr>
                <w:rFonts w:cs="Times New Roman"/>
              </w:rPr>
            </w:pPr>
            <w:r>
              <w:rPr>
                <w:rFonts w:ascii="楷体" w:hAnsi="楷体" w:eastAsia="楷体" w:cs="楷体"/>
                <w:color w:val="333333"/>
                <w:sz w:val="20"/>
                <w:szCs w:val="20"/>
              </w:rPr>
              <w:t>2.</w:t>
            </w:r>
            <w:r>
              <w:rPr>
                <w:rFonts w:hint="eastAsia" w:ascii="楷体" w:hAnsi="楷体" w:eastAsia="楷体" w:cs="楷体"/>
                <w:color w:val="333333"/>
                <w:sz w:val="20"/>
                <w:szCs w:val="20"/>
              </w:rPr>
              <w:t>没有现成信息需要另行制作</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855" w:type="dxa"/>
            <w:vMerge w:val="continue"/>
            <w:tcBorders>
              <w:top w:val="nil"/>
              <w:left w:val="nil"/>
            </w:tcBorders>
            <w:vAlign w:val="center"/>
          </w:tcPr>
          <w:p>
            <w:pPr>
              <w:jc w:val="left"/>
              <w:rPr>
                <w:rFonts w:ascii="宋体" w:cs="Times New Roman"/>
                <w:color w:val="333333"/>
              </w:rPr>
            </w:pPr>
          </w:p>
        </w:tc>
        <w:tc>
          <w:tcPr>
            <w:tcW w:w="2130" w:type="dxa"/>
            <w:tcBorders>
              <w:left w:val="nil"/>
            </w:tcBorders>
            <w:vAlign w:val="center"/>
          </w:tcPr>
          <w:p>
            <w:pPr>
              <w:widowControl/>
              <w:spacing w:afterAutospacing="1" w:line="30" w:lineRule="atLeast"/>
              <w:jc w:val="left"/>
              <w:rPr>
                <w:rFonts w:cs="Times New Roman"/>
              </w:rPr>
            </w:pPr>
            <w:r>
              <w:rPr>
                <w:rFonts w:ascii="楷体" w:hAnsi="楷体" w:eastAsia="楷体" w:cs="楷体"/>
                <w:color w:val="333333"/>
                <w:sz w:val="20"/>
                <w:szCs w:val="20"/>
              </w:rPr>
              <w:t>3.</w:t>
            </w:r>
            <w:r>
              <w:rPr>
                <w:rFonts w:hint="eastAsia" w:ascii="楷体" w:hAnsi="楷体" w:eastAsia="楷体" w:cs="楷体"/>
                <w:color w:val="333333"/>
                <w:sz w:val="20"/>
                <w:szCs w:val="20"/>
              </w:rPr>
              <w:t>补正后申请内容仍不明确</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855" w:type="dxa"/>
            <w:vMerge w:val="restart"/>
            <w:tcBorders>
              <w:top w:val="nil"/>
              <w:left w:val="nil"/>
            </w:tcBorders>
            <w:vAlign w:val="center"/>
          </w:tcPr>
          <w:p>
            <w:pPr>
              <w:widowControl/>
              <w:spacing w:afterAutospacing="1" w:line="30" w:lineRule="atLeast"/>
              <w:jc w:val="left"/>
              <w:rPr>
                <w:rFonts w:cs="Times New Roman"/>
              </w:rPr>
            </w:pPr>
            <w:r>
              <w:rPr>
                <w:rFonts w:hint="eastAsia" w:ascii="楷体" w:hAnsi="楷体" w:eastAsia="楷体" w:cs="楷体"/>
                <w:color w:val="333333"/>
                <w:sz w:val="20"/>
                <w:szCs w:val="20"/>
              </w:rPr>
              <w:t>（五）不予处理</w:t>
            </w:r>
          </w:p>
        </w:tc>
        <w:tc>
          <w:tcPr>
            <w:tcW w:w="2130" w:type="dxa"/>
            <w:tcBorders>
              <w:left w:val="nil"/>
            </w:tcBorders>
            <w:vAlign w:val="center"/>
          </w:tcPr>
          <w:p>
            <w:pPr>
              <w:widowControl/>
              <w:spacing w:afterAutospacing="1" w:line="30" w:lineRule="atLeast"/>
              <w:jc w:val="left"/>
              <w:rPr>
                <w:rFonts w:cs="Times New Roman"/>
              </w:rPr>
            </w:pPr>
            <w:r>
              <w:rPr>
                <w:rFonts w:ascii="楷体" w:hAnsi="楷体" w:eastAsia="楷体" w:cs="楷体"/>
                <w:color w:val="333333"/>
                <w:sz w:val="20"/>
                <w:szCs w:val="20"/>
              </w:rPr>
              <w:t>1.</w:t>
            </w:r>
            <w:r>
              <w:rPr>
                <w:rFonts w:hint="eastAsia" w:ascii="楷体" w:hAnsi="楷体" w:eastAsia="楷体" w:cs="楷体"/>
                <w:color w:val="333333"/>
                <w:sz w:val="20"/>
                <w:szCs w:val="20"/>
              </w:rPr>
              <w:t>信访举报投诉类申请</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855" w:type="dxa"/>
            <w:vMerge w:val="continue"/>
            <w:tcBorders>
              <w:top w:val="nil"/>
              <w:left w:val="nil"/>
            </w:tcBorders>
            <w:vAlign w:val="center"/>
          </w:tcPr>
          <w:p>
            <w:pPr>
              <w:jc w:val="left"/>
              <w:rPr>
                <w:rFonts w:ascii="宋体" w:cs="Times New Roman"/>
                <w:color w:val="333333"/>
              </w:rPr>
            </w:pPr>
          </w:p>
        </w:tc>
        <w:tc>
          <w:tcPr>
            <w:tcW w:w="2130" w:type="dxa"/>
            <w:tcBorders>
              <w:left w:val="nil"/>
            </w:tcBorders>
            <w:vAlign w:val="center"/>
          </w:tcPr>
          <w:p>
            <w:pPr>
              <w:widowControl/>
              <w:spacing w:afterAutospacing="1" w:line="30" w:lineRule="atLeast"/>
              <w:jc w:val="left"/>
              <w:rPr>
                <w:rFonts w:cs="Times New Roman"/>
              </w:rPr>
            </w:pPr>
            <w:r>
              <w:rPr>
                <w:rFonts w:ascii="楷体" w:hAnsi="楷体" w:eastAsia="楷体" w:cs="楷体"/>
                <w:color w:val="333333"/>
                <w:sz w:val="20"/>
                <w:szCs w:val="20"/>
              </w:rPr>
              <w:t>2.</w:t>
            </w:r>
            <w:r>
              <w:rPr>
                <w:rFonts w:hint="eastAsia" w:ascii="楷体" w:hAnsi="楷体" w:eastAsia="楷体" w:cs="楷体"/>
                <w:color w:val="333333"/>
                <w:sz w:val="20"/>
                <w:szCs w:val="20"/>
              </w:rPr>
              <w:t>重复申请</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855" w:type="dxa"/>
            <w:vMerge w:val="continue"/>
            <w:tcBorders>
              <w:top w:val="nil"/>
              <w:left w:val="nil"/>
            </w:tcBorders>
            <w:vAlign w:val="center"/>
          </w:tcPr>
          <w:p>
            <w:pPr>
              <w:jc w:val="left"/>
              <w:rPr>
                <w:rFonts w:ascii="宋体" w:cs="Times New Roman"/>
                <w:color w:val="333333"/>
              </w:rPr>
            </w:pPr>
          </w:p>
        </w:tc>
        <w:tc>
          <w:tcPr>
            <w:tcW w:w="2130" w:type="dxa"/>
            <w:tcBorders>
              <w:left w:val="nil"/>
            </w:tcBorders>
            <w:vAlign w:val="center"/>
          </w:tcPr>
          <w:p>
            <w:pPr>
              <w:widowControl/>
              <w:spacing w:afterAutospacing="1" w:line="30" w:lineRule="atLeast"/>
              <w:jc w:val="left"/>
              <w:rPr>
                <w:rFonts w:cs="Times New Roman"/>
              </w:rPr>
            </w:pPr>
            <w:r>
              <w:rPr>
                <w:rFonts w:ascii="楷体" w:hAnsi="楷体" w:eastAsia="楷体" w:cs="楷体"/>
                <w:color w:val="333333"/>
                <w:sz w:val="20"/>
                <w:szCs w:val="20"/>
              </w:rPr>
              <w:t>3.</w:t>
            </w:r>
            <w:r>
              <w:rPr>
                <w:rFonts w:hint="eastAsia" w:ascii="楷体" w:hAnsi="楷体" w:eastAsia="楷体" w:cs="楷体"/>
                <w:color w:val="333333"/>
                <w:sz w:val="20"/>
                <w:szCs w:val="20"/>
              </w:rPr>
              <w:t>要求提供公开出版物</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855" w:type="dxa"/>
            <w:vMerge w:val="continue"/>
            <w:tcBorders>
              <w:top w:val="nil"/>
              <w:left w:val="nil"/>
            </w:tcBorders>
            <w:vAlign w:val="center"/>
          </w:tcPr>
          <w:p>
            <w:pPr>
              <w:jc w:val="left"/>
              <w:rPr>
                <w:rFonts w:ascii="宋体" w:cs="Times New Roman"/>
                <w:color w:val="333333"/>
              </w:rPr>
            </w:pPr>
          </w:p>
        </w:tc>
        <w:tc>
          <w:tcPr>
            <w:tcW w:w="2130" w:type="dxa"/>
            <w:tcBorders>
              <w:left w:val="nil"/>
            </w:tcBorders>
            <w:vAlign w:val="center"/>
          </w:tcPr>
          <w:p>
            <w:pPr>
              <w:widowControl/>
              <w:spacing w:afterAutospacing="1" w:line="30" w:lineRule="atLeast"/>
              <w:jc w:val="left"/>
              <w:rPr>
                <w:rFonts w:cs="Times New Roman"/>
              </w:rPr>
            </w:pPr>
            <w:r>
              <w:rPr>
                <w:rFonts w:ascii="楷体" w:hAnsi="楷体" w:eastAsia="楷体" w:cs="楷体"/>
                <w:color w:val="333333"/>
                <w:sz w:val="20"/>
                <w:szCs w:val="20"/>
              </w:rPr>
              <w:t>4.</w:t>
            </w:r>
            <w:r>
              <w:rPr>
                <w:rFonts w:hint="eastAsia" w:ascii="楷体" w:hAnsi="楷体" w:eastAsia="楷体" w:cs="楷体"/>
                <w:color w:val="333333"/>
                <w:sz w:val="20"/>
                <w:szCs w:val="20"/>
              </w:rPr>
              <w:t>无正当理由大量反复申请</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855" w:type="dxa"/>
            <w:vMerge w:val="continue"/>
            <w:tcBorders>
              <w:top w:val="nil"/>
              <w:left w:val="nil"/>
            </w:tcBorders>
            <w:vAlign w:val="center"/>
          </w:tcPr>
          <w:p>
            <w:pPr>
              <w:jc w:val="left"/>
              <w:rPr>
                <w:rFonts w:ascii="宋体" w:cs="Times New Roman"/>
                <w:color w:val="333333"/>
              </w:rPr>
            </w:pPr>
          </w:p>
        </w:tc>
        <w:tc>
          <w:tcPr>
            <w:tcW w:w="2130" w:type="dxa"/>
            <w:tcBorders>
              <w:left w:val="nil"/>
            </w:tcBorders>
            <w:vAlign w:val="center"/>
          </w:tcPr>
          <w:p>
            <w:pPr>
              <w:widowControl/>
              <w:spacing w:afterAutospacing="1" w:line="30" w:lineRule="atLeast"/>
              <w:jc w:val="left"/>
              <w:rPr>
                <w:rFonts w:cs="Times New Roman"/>
              </w:rPr>
            </w:pPr>
            <w:r>
              <w:rPr>
                <w:rFonts w:ascii="楷体" w:hAnsi="楷体" w:eastAsia="楷体" w:cs="楷体"/>
                <w:color w:val="333333"/>
                <w:sz w:val="20"/>
                <w:szCs w:val="20"/>
              </w:rPr>
              <w:t>5.</w:t>
            </w:r>
            <w:r>
              <w:rPr>
                <w:rFonts w:hint="eastAsia" w:ascii="楷体" w:hAnsi="楷体" w:eastAsia="楷体" w:cs="楷体"/>
                <w:color w:val="333333"/>
                <w:sz w:val="20"/>
                <w:szCs w:val="20"/>
              </w:rPr>
              <w:t>要求行政机关确认或重新出具已获取信息</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2985" w:type="dxa"/>
            <w:gridSpan w:val="2"/>
            <w:tcBorders>
              <w:left w:val="nil"/>
            </w:tcBorders>
            <w:vAlign w:val="center"/>
          </w:tcPr>
          <w:p>
            <w:pPr>
              <w:widowControl/>
              <w:spacing w:afterAutospacing="1" w:line="30" w:lineRule="atLeast"/>
              <w:jc w:val="left"/>
              <w:rPr>
                <w:rFonts w:cs="Times New Roman"/>
              </w:rPr>
            </w:pPr>
            <w:r>
              <w:rPr>
                <w:rFonts w:hint="eastAsia" w:ascii="楷体" w:hAnsi="楷体" w:eastAsia="楷体" w:cs="楷体"/>
                <w:color w:val="333333"/>
                <w:sz w:val="20"/>
                <w:szCs w:val="20"/>
              </w:rPr>
              <w:t>（六）其他处理</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94" w:type="dxa"/>
            <w:vMerge w:val="continue"/>
            <w:tcBorders>
              <w:top w:val="nil"/>
            </w:tcBorders>
            <w:vAlign w:val="center"/>
          </w:tcPr>
          <w:p>
            <w:pPr>
              <w:jc w:val="left"/>
              <w:rPr>
                <w:rFonts w:ascii="宋体" w:cs="Times New Roman"/>
                <w:color w:val="333333"/>
              </w:rPr>
            </w:pPr>
          </w:p>
        </w:tc>
        <w:tc>
          <w:tcPr>
            <w:tcW w:w="2985" w:type="dxa"/>
            <w:gridSpan w:val="2"/>
            <w:tcBorders>
              <w:left w:val="nil"/>
            </w:tcBorders>
            <w:vAlign w:val="center"/>
          </w:tcPr>
          <w:p>
            <w:pPr>
              <w:widowControl/>
              <w:spacing w:afterAutospacing="1" w:line="30" w:lineRule="atLeast"/>
              <w:jc w:val="left"/>
              <w:rPr>
                <w:rFonts w:cs="Times New Roman"/>
              </w:rPr>
            </w:pPr>
            <w:r>
              <w:rPr>
                <w:rFonts w:hint="eastAsia" w:ascii="楷体" w:hAnsi="楷体" w:eastAsia="楷体" w:cs="楷体"/>
                <w:color w:val="333333"/>
                <w:sz w:val="20"/>
                <w:szCs w:val="20"/>
              </w:rPr>
              <w:t>（七）总计</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widowControl/>
              <w:spacing w:afterAutospacing="1" w:line="30" w:lineRule="atLeast"/>
              <w:jc w:val="center"/>
              <w:rPr>
                <w:rFonts w:cs="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479" w:type="dxa"/>
            <w:gridSpan w:val="3"/>
            <w:vAlign w:val="center"/>
          </w:tcPr>
          <w:p>
            <w:pPr>
              <w:widowControl/>
              <w:spacing w:afterAutospacing="1" w:line="30" w:lineRule="atLeast"/>
              <w:jc w:val="left"/>
              <w:rPr>
                <w:rFonts w:cs="Times New Roman"/>
              </w:rPr>
            </w:pPr>
            <w:r>
              <w:rPr>
                <w:rFonts w:hint="eastAsia" w:cs="宋体"/>
                <w:color w:val="333333"/>
                <w:sz w:val="20"/>
                <w:szCs w:val="20"/>
              </w:rPr>
              <w:t>四、结转下年度继续办理</w:t>
            </w:r>
          </w:p>
        </w:tc>
        <w:tc>
          <w:tcPr>
            <w:tcW w:w="82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765" w:type="dxa"/>
            <w:tcBorders>
              <w:left w:val="nil"/>
            </w:tcBorders>
            <w:vAlign w:val="center"/>
          </w:tcPr>
          <w:p>
            <w:pPr>
              <w:widowControl/>
              <w:spacing w:afterAutospacing="1" w:line="30" w:lineRule="atLeast"/>
              <w:jc w:val="center"/>
              <w:rPr>
                <w:rFonts w:cs="Times New Roman"/>
              </w:rPr>
            </w:pPr>
          </w:p>
        </w:tc>
        <w:tc>
          <w:tcPr>
            <w:tcW w:w="825" w:type="dxa"/>
            <w:tcBorders>
              <w:left w:val="nil"/>
            </w:tcBorders>
            <w:vAlign w:val="center"/>
          </w:tcPr>
          <w:p>
            <w:pPr>
              <w:widowControl/>
              <w:spacing w:afterAutospacing="1" w:line="30" w:lineRule="atLeast"/>
              <w:jc w:val="center"/>
              <w:rPr>
                <w:rFonts w:cs="Times New Roman"/>
              </w:rPr>
            </w:pPr>
          </w:p>
        </w:tc>
        <w:tc>
          <w:tcPr>
            <w:tcW w:w="990" w:type="dxa"/>
            <w:tcBorders>
              <w:left w:val="nil"/>
            </w:tcBorders>
            <w:vAlign w:val="center"/>
          </w:tcPr>
          <w:p>
            <w:pPr>
              <w:widowControl/>
              <w:spacing w:afterAutospacing="1" w:line="30" w:lineRule="atLeast"/>
              <w:jc w:val="center"/>
              <w:rPr>
                <w:rFonts w:cs="Times New Roman"/>
              </w:rPr>
            </w:pPr>
          </w:p>
        </w:tc>
        <w:tc>
          <w:tcPr>
            <w:tcW w:w="720" w:type="dxa"/>
            <w:tcBorders>
              <w:left w:val="nil"/>
            </w:tcBorders>
            <w:vAlign w:val="center"/>
          </w:tcPr>
          <w:p>
            <w:pPr>
              <w:widowControl/>
              <w:spacing w:afterAutospacing="1" w:line="30" w:lineRule="atLeast"/>
              <w:jc w:val="center"/>
              <w:rPr>
                <w:rFonts w:cs="Times New Roman"/>
              </w:rPr>
            </w:pPr>
          </w:p>
        </w:tc>
        <w:tc>
          <w:tcPr>
            <w:tcW w:w="702" w:type="dxa"/>
            <w:tcBorders>
              <w:left w:val="nil"/>
            </w:tcBorders>
            <w:vAlign w:val="center"/>
          </w:tcPr>
          <w:p>
            <w:pPr>
              <w:jc w:val="left"/>
              <w:rPr>
                <w:rFonts w:ascii="宋体" w:cs="Times New Roman"/>
                <w:color w:val="333333"/>
              </w:rPr>
            </w:pPr>
            <w:r>
              <w:rPr>
                <w:rFonts w:ascii="宋体" w:cs="宋体"/>
                <w:color w:val="333333"/>
              </w:rPr>
              <w:t>0</w:t>
            </w:r>
          </w:p>
        </w:tc>
      </w:tr>
    </w:tbl>
    <w:p>
      <w:pPr>
        <w:pStyle w:val="2"/>
        <w:widowControl/>
        <w:spacing w:line="432" w:lineRule="auto"/>
        <w:ind w:firstLine="420"/>
        <w:jc w:val="both"/>
        <w:rPr>
          <w:rFonts w:ascii="宋体" w:cs="Times New Roman"/>
        </w:rPr>
      </w:pPr>
      <w:r>
        <w:rPr>
          <w:rFonts w:hint="eastAsia" w:ascii="宋体" w:hAnsi="宋体" w:cs="宋体"/>
          <w:b/>
          <w:bCs/>
          <w:color w:val="333333"/>
        </w:rPr>
        <w:t>四、政府信息公开行政复议、行政诉讼情况</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074" w:type="dxa"/>
            <w:gridSpan w:val="5"/>
            <w:vAlign w:val="center"/>
          </w:tcPr>
          <w:p>
            <w:pPr>
              <w:widowControl/>
              <w:spacing w:afterAutospacing="1" w:line="30" w:lineRule="atLeast"/>
              <w:jc w:val="center"/>
              <w:rPr>
                <w:rFonts w:cs="Times New Roman"/>
              </w:rPr>
            </w:pPr>
            <w:r>
              <w:rPr>
                <w:rFonts w:hint="eastAsia" w:cs="宋体"/>
                <w:color w:val="333333"/>
                <w:sz w:val="20"/>
                <w:szCs w:val="20"/>
              </w:rPr>
              <w:t>行政复议</w:t>
            </w:r>
          </w:p>
        </w:tc>
        <w:tc>
          <w:tcPr>
            <w:tcW w:w="5997" w:type="dxa"/>
            <w:gridSpan w:val="10"/>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04" w:type="dxa"/>
            <w:vMerge w:val="restart"/>
            <w:tcBorders>
              <w:top w:val="nil"/>
            </w:tcBorders>
            <w:vAlign w:val="center"/>
          </w:tcPr>
          <w:p>
            <w:pPr>
              <w:widowControl/>
              <w:spacing w:afterAutospacing="1" w:line="30" w:lineRule="atLeast"/>
              <w:jc w:val="center"/>
              <w:rPr>
                <w:rFonts w:cs="Times New Roman"/>
              </w:rPr>
            </w:pPr>
            <w:r>
              <w:rPr>
                <w:rFonts w:hint="eastAsia" w:cs="宋体"/>
                <w:color w:val="333333"/>
                <w:sz w:val="20"/>
                <w:szCs w:val="20"/>
              </w:rPr>
              <w:t>结果维持</w:t>
            </w:r>
          </w:p>
        </w:tc>
        <w:tc>
          <w:tcPr>
            <w:tcW w:w="604" w:type="dxa"/>
            <w:vMerge w:val="restart"/>
            <w:tcBorders>
              <w:top w:val="nil"/>
              <w:left w:val="nil"/>
            </w:tcBorders>
            <w:vAlign w:val="center"/>
          </w:tcPr>
          <w:p>
            <w:pPr>
              <w:widowControl/>
              <w:spacing w:afterAutospacing="1" w:line="30" w:lineRule="atLeast"/>
              <w:jc w:val="center"/>
              <w:rPr>
                <w:rFonts w:cs="Times New Roman"/>
              </w:rPr>
            </w:pPr>
            <w:r>
              <w:rPr>
                <w:rFonts w:hint="eastAsia" w:cs="宋体"/>
                <w:color w:val="333333"/>
                <w:sz w:val="20"/>
                <w:szCs w:val="20"/>
              </w:rPr>
              <w:t>结果纠正</w:t>
            </w:r>
          </w:p>
        </w:tc>
        <w:tc>
          <w:tcPr>
            <w:tcW w:w="604" w:type="dxa"/>
            <w:vMerge w:val="restart"/>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其他结果</w:t>
            </w:r>
          </w:p>
        </w:tc>
        <w:tc>
          <w:tcPr>
            <w:tcW w:w="604" w:type="dxa"/>
            <w:vMerge w:val="restart"/>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尚未审结</w:t>
            </w:r>
          </w:p>
        </w:tc>
        <w:tc>
          <w:tcPr>
            <w:tcW w:w="658" w:type="dxa"/>
            <w:vMerge w:val="restart"/>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总计</w:t>
            </w:r>
          </w:p>
        </w:tc>
        <w:tc>
          <w:tcPr>
            <w:tcW w:w="2970" w:type="dxa"/>
            <w:gridSpan w:val="5"/>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未经复议直接起诉</w:t>
            </w:r>
          </w:p>
        </w:tc>
        <w:tc>
          <w:tcPr>
            <w:tcW w:w="3027" w:type="dxa"/>
            <w:gridSpan w:val="5"/>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604" w:type="dxa"/>
            <w:vMerge w:val="continue"/>
            <w:tcBorders>
              <w:top w:val="nil"/>
            </w:tcBorders>
            <w:vAlign w:val="center"/>
          </w:tcPr>
          <w:p>
            <w:pPr>
              <w:jc w:val="left"/>
              <w:rPr>
                <w:rFonts w:ascii="宋体" w:cs="Times New Roman"/>
                <w:color w:val="333333"/>
              </w:rPr>
            </w:pPr>
          </w:p>
        </w:tc>
        <w:tc>
          <w:tcPr>
            <w:tcW w:w="604" w:type="dxa"/>
            <w:vMerge w:val="continue"/>
            <w:tcBorders>
              <w:top w:val="nil"/>
              <w:left w:val="nil"/>
            </w:tcBorders>
            <w:vAlign w:val="center"/>
          </w:tcPr>
          <w:p>
            <w:pPr>
              <w:jc w:val="left"/>
              <w:rPr>
                <w:rFonts w:ascii="宋体" w:cs="Times New Roman"/>
                <w:color w:val="333333"/>
              </w:rPr>
            </w:pPr>
          </w:p>
        </w:tc>
        <w:tc>
          <w:tcPr>
            <w:tcW w:w="604" w:type="dxa"/>
            <w:vMerge w:val="continue"/>
            <w:tcBorders>
              <w:left w:val="nil"/>
            </w:tcBorders>
            <w:vAlign w:val="center"/>
          </w:tcPr>
          <w:p>
            <w:pPr>
              <w:jc w:val="left"/>
              <w:rPr>
                <w:rFonts w:ascii="宋体" w:cs="Times New Roman"/>
                <w:color w:val="333333"/>
              </w:rPr>
            </w:pPr>
          </w:p>
        </w:tc>
        <w:tc>
          <w:tcPr>
            <w:tcW w:w="604" w:type="dxa"/>
            <w:vMerge w:val="continue"/>
            <w:tcBorders>
              <w:left w:val="nil"/>
            </w:tcBorders>
            <w:vAlign w:val="center"/>
          </w:tcPr>
          <w:p>
            <w:pPr>
              <w:jc w:val="left"/>
              <w:rPr>
                <w:rFonts w:ascii="宋体" w:cs="Times New Roman"/>
                <w:color w:val="333333"/>
              </w:rPr>
            </w:pPr>
          </w:p>
        </w:tc>
        <w:tc>
          <w:tcPr>
            <w:tcW w:w="658" w:type="dxa"/>
            <w:vMerge w:val="continue"/>
            <w:tcBorders>
              <w:left w:val="nil"/>
            </w:tcBorders>
            <w:vAlign w:val="center"/>
          </w:tcPr>
          <w:p>
            <w:pPr>
              <w:jc w:val="left"/>
              <w:rPr>
                <w:rFonts w:ascii="宋体" w:cs="Times New Roman"/>
                <w:color w:val="333333"/>
              </w:rPr>
            </w:pPr>
          </w:p>
        </w:tc>
        <w:tc>
          <w:tcPr>
            <w:tcW w:w="550" w:type="dxa"/>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结果维持</w:t>
            </w:r>
          </w:p>
        </w:tc>
        <w:tc>
          <w:tcPr>
            <w:tcW w:w="605" w:type="dxa"/>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结果纠正</w:t>
            </w:r>
          </w:p>
        </w:tc>
        <w:tc>
          <w:tcPr>
            <w:tcW w:w="605" w:type="dxa"/>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其他结果</w:t>
            </w:r>
          </w:p>
        </w:tc>
        <w:tc>
          <w:tcPr>
            <w:tcW w:w="605" w:type="dxa"/>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尚未审结</w:t>
            </w:r>
          </w:p>
        </w:tc>
        <w:tc>
          <w:tcPr>
            <w:tcW w:w="605" w:type="dxa"/>
            <w:tcBorders>
              <w:left w:val="nil"/>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总计</w:t>
            </w:r>
          </w:p>
        </w:tc>
        <w:tc>
          <w:tcPr>
            <w:tcW w:w="605" w:type="dxa"/>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结果维持</w:t>
            </w:r>
          </w:p>
        </w:tc>
        <w:tc>
          <w:tcPr>
            <w:tcW w:w="605" w:type="dxa"/>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结果纠正</w:t>
            </w:r>
          </w:p>
        </w:tc>
        <w:tc>
          <w:tcPr>
            <w:tcW w:w="605" w:type="dxa"/>
            <w:tcBorders>
              <w:left w:val="nil"/>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其他结果</w:t>
            </w:r>
          </w:p>
        </w:tc>
        <w:tc>
          <w:tcPr>
            <w:tcW w:w="606" w:type="dxa"/>
            <w:tcBorders>
              <w:left w:val="nil"/>
            </w:tcBorders>
            <w:vAlign w:val="center"/>
          </w:tcPr>
          <w:p>
            <w:pPr>
              <w:widowControl/>
              <w:spacing w:afterAutospacing="1" w:line="30" w:lineRule="atLeast"/>
              <w:jc w:val="center"/>
              <w:rPr>
                <w:rFonts w:cs="Times New Roman"/>
              </w:rPr>
            </w:pPr>
            <w:r>
              <w:rPr>
                <w:rFonts w:hint="eastAsia" w:cs="宋体"/>
                <w:color w:val="333333"/>
                <w:sz w:val="20"/>
                <w:szCs w:val="20"/>
              </w:rPr>
              <w:t>尚未审结</w:t>
            </w:r>
          </w:p>
        </w:tc>
        <w:tc>
          <w:tcPr>
            <w:tcW w:w="606" w:type="dxa"/>
            <w:tcBorders>
              <w:left w:val="nil"/>
            </w:tcBorders>
            <w:vAlign w:val="center"/>
          </w:tcPr>
          <w:p>
            <w:pPr>
              <w:widowControl/>
              <w:spacing w:afterAutospacing="1" w:line="30" w:lineRule="atLeast"/>
              <w:jc w:val="center"/>
              <w:rPr>
                <w:rFonts w:cs="Times New Roman"/>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604" w:type="dxa"/>
            <w:vAlign w:val="center"/>
          </w:tcPr>
          <w:p>
            <w:pPr>
              <w:widowControl/>
              <w:spacing w:afterAutospacing="1" w:line="30" w:lineRule="atLeast"/>
              <w:jc w:val="center"/>
              <w:rPr>
                <w:rFonts w:cs="Times New Roman"/>
              </w:rPr>
            </w:pPr>
            <w:r>
              <w:t>0</w:t>
            </w:r>
          </w:p>
        </w:tc>
        <w:tc>
          <w:tcPr>
            <w:tcW w:w="604" w:type="dxa"/>
            <w:tcBorders>
              <w:left w:val="nil"/>
            </w:tcBorders>
            <w:vAlign w:val="center"/>
          </w:tcPr>
          <w:p>
            <w:pPr>
              <w:widowControl/>
              <w:spacing w:afterAutospacing="1" w:line="30" w:lineRule="atLeast"/>
              <w:jc w:val="center"/>
              <w:rPr>
                <w:rFonts w:cs="Times New Roman"/>
              </w:rPr>
            </w:pPr>
            <w:r>
              <w:t>0</w:t>
            </w:r>
          </w:p>
        </w:tc>
        <w:tc>
          <w:tcPr>
            <w:tcW w:w="604" w:type="dxa"/>
            <w:tcBorders>
              <w:left w:val="nil"/>
            </w:tcBorders>
            <w:vAlign w:val="center"/>
          </w:tcPr>
          <w:p>
            <w:pPr>
              <w:widowControl/>
              <w:spacing w:afterAutospacing="1" w:line="30" w:lineRule="atLeast"/>
              <w:jc w:val="center"/>
              <w:rPr>
                <w:rFonts w:cs="Times New Roman"/>
              </w:rPr>
            </w:pPr>
            <w:r>
              <w:t>0</w:t>
            </w:r>
          </w:p>
        </w:tc>
        <w:tc>
          <w:tcPr>
            <w:tcW w:w="604" w:type="dxa"/>
            <w:tcBorders>
              <w:left w:val="nil"/>
            </w:tcBorders>
            <w:vAlign w:val="center"/>
          </w:tcPr>
          <w:p>
            <w:pPr>
              <w:widowControl/>
              <w:spacing w:afterAutospacing="1" w:line="30" w:lineRule="atLeast"/>
              <w:jc w:val="center"/>
              <w:rPr>
                <w:rFonts w:cs="Times New Roman"/>
              </w:rPr>
            </w:pPr>
            <w:r>
              <w:t>0</w:t>
            </w:r>
          </w:p>
        </w:tc>
        <w:tc>
          <w:tcPr>
            <w:tcW w:w="658" w:type="dxa"/>
            <w:tcBorders>
              <w:left w:val="nil"/>
            </w:tcBorders>
            <w:vAlign w:val="center"/>
          </w:tcPr>
          <w:p>
            <w:pPr>
              <w:widowControl/>
              <w:spacing w:afterAutospacing="1" w:line="30" w:lineRule="atLeast"/>
              <w:jc w:val="center"/>
              <w:rPr>
                <w:rFonts w:cs="Times New Roman"/>
              </w:rPr>
            </w:pPr>
            <w:r>
              <w:t>0</w:t>
            </w:r>
          </w:p>
        </w:tc>
        <w:tc>
          <w:tcPr>
            <w:tcW w:w="550" w:type="dxa"/>
            <w:tcBorders>
              <w:left w:val="nil"/>
            </w:tcBorders>
            <w:vAlign w:val="center"/>
          </w:tcPr>
          <w:p>
            <w:pPr>
              <w:widowControl/>
              <w:spacing w:afterAutospacing="1" w:line="30" w:lineRule="atLeast"/>
              <w:jc w:val="center"/>
              <w:rPr>
                <w:rFonts w:cs="Times New Roman"/>
              </w:rPr>
            </w:pPr>
            <w:r>
              <w:t>0</w:t>
            </w:r>
          </w:p>
        </w:tc>
        <w:tc>
          <w:tcPr>
            <w:tcW w:w="605" w:type="dxa"/>
            <w:tcBorders>
              <w:left w:val="nil"/>
            </w:tcBorders>
            <w:vAlign w:val="center"/>
          </w:tcPr>
          <w:p>
            <w:pPr>
              <w:widowControl/>
              <w:spacing w:afterAutospacing="1" w:line="30" w:lineRule="atLeast"/>
              <w:jc w:val="center"/>
              <w:rPr>
                <w:rFonts w:cs="Times New Roman"/>
              </w:rPr>
            </w:pPr>
            <w:r>
              <w:t>0</w:t>
            </w:r>
          </w:p>
        </w:tc>
        <w:tc>
          <w:tcPr>
            <w:tcW w:w="605" w:type="dxa"/>
            <w:tcBorders>
              <w:left w:val="nil"/>
            </w:tcBorders>
            <w:vAlign w:val="center"/>
          </w:tcPr>
          <w:p>
            <w:pPr>
              <w:widowControl/>
              <w:spacing w:afterAutospacing="1" w:line="30" w:lineRule="atLeast"/>
              <w:jc w:val="center"/>
              <w:rPr>
                <w:rFonts w:cs="Times New Roman"/>
              </w:rPr>
            </w:pPr>
            <w:r>
              <w:t>0</w:t>
            </w:r>
          </w:p>
        </w:tc>
        <w:tc>
          <w:tcPr>
            <w:tcW w:w="605" w:type="dxa"/>
            <w:tcBorders>
              <w:left w:val="nil"/>
            </w:tcBorders>
            <w:vAlign w:val="center"/>
          </w:tcPr>
          <w:p>
            <w:pPr>
              <w:widowControl/>
              <w:spacing w:afterAutospacing="1" w:line="30" w:lineRule="atLeast"/>
              <w:jc w:val="center"/>
              <w:rPr>
                <w:rFonts w:cs="Times New Roman"/>
              </w:rPr>
            </w:pPr>
            <w:r>
              <w:t>0</w:t>
            </w:r>
          </w:p>
        </w:tc>
        <w:tc>
          <w:tcPr>
            <w:tcW w:w="605" w:type="dxa"/>
            <w:tcBorders>
              <w:left w:val="nil"/>
            </w:tcBorders>
            <w:vAlign w:val="center"/>
          </w:tcPr>
          <w:p>
            <w:pPr>
              <w:widowControl/>
              <w:spacing w:afterAutospacing="1" w:line="30" w:lineRule="atLeast"/>
              <w:jc w:val="center"/>
              <w:rPr>
                <w:rFonts w:cs="Times New Roman"/>
              </w:rPr>
            </w:pPr>
            <w:r>
              <w:t>0</w:t>
            </w:r>
          </w:p>
        </w:tc>
        <w:tc>
          <w:tcPr>
            <w:tcW w:w="605" w:type="dxa"/>
            <w:tcBorders>
              <w:left w:val="nil"/>
            </w:tcBorders>
            <w:vAlign w:val="center"/>
          </w:tcPr>
          <w:p>
            <w:pPr>
              <w:widowControl/>
              <w:spacing w:afterAutospacing="1" w:line="30" w:lineRule="atLeast"/>
              <w:jc w:val="center"/>
              <w:rPr>
                <w:rFonts w:cs="Times New Roman"/>
              </w:rPr>
            </w:pPr>
            <w:r>
              <w:t>0</w:t>
            </w:r>
          </w:p>
        </w:tc>
        <w:tc>
          <w:tcPr>
            <w:tcW w:w="605" w:type="dxa"/>
            <w:tcBorders>
              <w:left w:val="nil"/>
            </w:tcBorders>
            <w:vAlign w:val="center"/>
          </w:tcPr>
          <w:p>
            <w:pPr>
              <w:widowControl/>
              <w:spacing w:afterAutospacing="1" w:line="30" w:lineRule="atLeast"/>
              <w:jc w:val="center"/>
              <w:rPr>
                <w:rFonts w:cs="Times New Roman"/>
              </w:rPr>
            </w:pPr>
            <w:r>
              <w:t>0</w:t>
            </w:r>
          </w:p>
        </w:tc>
        <w:tc>
          <w:tcPr>
            <w:tcW w:w="605" w:type="dxa"/>
            <w:tcBorders>
              <w:left w:val="nil"/>
            </w:tcBorders>
            <w:vAlign w:val="center"/>
          </w:tcPr>
          <w:p>
            <w:pPr>
              <w:widowControl/>
              <w:spacing w:afterAutospacing="1" w:line="30" w:lineRule="atLeast"/>
              <w:jc w:val="center"/>
              <w:rPr>
                <w:rFonts w:cs="Times New Roman"/>
              </w:rPr>
            </w:pPr>
            <w:r>
              <w:t>0</w:t>
            </w:r>
          </w:p>
        </w:tc>
        <w:tc>
          <w:tcPr>
            <w:tcW w:w="606" w:type="dxa"/>
            <w:tcBorders>
              <w:left w:val="nil"/>
            </w:tcBorders>
            <w:vAlign w:val="center"/>
          </w:tcPr>
          <w:p>
            <w:pPr>
              <w:widowControl/>
              <w:spacing w:afterAutospacing="1" w:line="30" w:lineRule="atLeast"/>
              <w:jc w:val="center"/>
              <w:rPr>
                <w:rFonts w:cs="Times New Roman"/>
              </w:rPr>
            </w:pPr>
            <w:r>
              <w:t>0</w:t>
            </w:r>
          </w:p>
        </w:tc>
        <w:tc>
          <w:tcPr>
            <w:tcW w:w="606" w:type="dxa"/>
            <w:tcBorders>
              <w:left w:val="nil"/>
            </w:tcBorders>
            <w:vAlign w:val="center"/>
          </w:tcPr>
          <w:p>
            <w:pPr>
              <w:jc w:val="left"/>
              <w:rPr>
                <w:rFonts w:ascii="宋体" w:cs="Times New Roman"/>
                <w:color w:val="333333"/>
              </w:rPr>
            </w:pPr>
            <w:r>
              <w:rPr>
                <w:rFonts w:ascii="宋体" w:cs="宋体"/>
                <w:color w:val="333333"/>
              </w:rPr>
              <w:t>0</w:t>
            </w:r>
          </w:p>
        </w:tc>
      </w:tr>
    </w:tbl>
    <w:p>
      <w:pPr>
        <w:widowControl/>
        <w:jc w:val="left"/>
        <w:rPr>
          <w:rFonts w:cs="Times New Roman"/>
        </w:rPr>
      </w:pPr>
    </w:p>
    <w:p>
      <w:pPr>
        <w:pStyle w:val="2"/>
        <w:widowControl/>
        <w:spacing w:line="432" w:lineRule="auto"/>
        <w:ind w:firstLine="420"/>
        <w:jc w:val="both"/>
        <w:rPr>
          <w:rFonts w:ascii="宋体" w:cs="Times New Roman"/>
        </w:rPr>
      </w:pPr>
      <w:r>
        <w:rPr>
          <w:rFonts w:hint="eastAsia" w:ascii="宋体" w:hAnsi="宋体" w:cs="宋体"/>
          <w:b/>
          <w:bCs/>
          <w:color w:val="333333"/>
        </w:rPr>
        <w:t>五、存在的主要问题及改进情况</w:t>
      </w:r>
    </w:p>
    <w:p>
      <w:pPr>
        <w:pStyle w:val="2"/>
        <w:widowControl/>
        <w:spacing w:line="432" w:lineRule="auto"/>
        <w:ind w:firstLine="420"/>
        <w:jc w:val="both"/>
        <w:rPr>
          <w:rFonts w:ascii="宋体" w:cs="宋体"/>
          <w:color w:val="333333"/>
        </w:rPr>
      </w:pPr>
      <w:r>
        <w:rPr>
          <w:rFonts w:ascii="宋体" w:hAnsi="宋体" w:cs="宋体"/>
          <w:color w:val="333333"/>
        </w:rPr>
        <w:t>2019</w:t>
      </w:r>
      <w:r>
        <w:rPr>
          <w:rFonts w:hint="eastAsia" w:ascii="宋体" w:hAnsi="宋体" w:cs="宋体"/>
          <w:color w:val="333333"/>
        </w:rPr>
        <w:t>年，湘桥区工信局信息公开工作取得了一定的成效，但仍存在不同方面的问题，我局将采取积极措施加以改。一是进一步规范信息公开内容，进一步完善信息质量，确保应当公开的政府信息及时公开，不断提高政务公开的质量和水平，努力提高政府行政效能和公信力。二是进一步规范工作流程，及时整理信息，确保信息公开形式日趋多样，内容日趋完整，程序日趋完善，推进政府信息公开工作按既定工作流程有效运作，方便公众查询。三是继续推进我区</w:t>
      </w:r>
      <w:r>
        <w:rPr>
          <w:rFonts w:hint="eastAsia" w:ascii="宋体" w:hAnsi="宋体" w:cs="宋体"/>
          <w:color w:val="333333"/>
          <w:lang w:eastAsia="zh-CN"/>
        </w:rPr>
        <w:t>政务服务</w:t>
      </w:r>
      <w:r>
        <w:rPr>
          <w:rFonts w:hint="eastAsia" w:ascii="宋体" w:hAnsi="宋体" w:cs="宋体"/>
          <w:color w:val="333333"/>
        </w:rPr>
        <w:t>工作，促进</w:t>
      </w:r>
      <w:r>
        <w:rPr>
          <w:rFonts w:hint="eastAsia" w:ascii="宋体" w:hAnsi="宋体" w:cs="宋体"/>
          <w:color w:val="333333"/>
          <w:lang w:eastAsia="zh-CN"/>
        </w:rPr>
        <w:t>政务服务</w:t>
      </w:r>
      <w:bookmarkStart w:id="0" w:name="_GoBack"/>
      <w:bookmarkEnd w:id="0"/>
      <w:r>
        <w:rPr>
          <w:rFonts w:hint="eastAsia" w:ascii="宋体" w:hAnsi="宋体" w:cs="宋体"/>
          <w:color w:val="333333"/>
        </w:rPr>
        <w:t>科学规范运作，提高网上办事能力。</w:t>
      </w:r>
    </w:p>
    <w:p>
      <w:pPr>
        <w:pStyle w:val="2"/>
        <w:widowControl/>
        <w:spacing w:line="432" w:lineRule="auto"/>
        <w:ind w:firstLine="420"/>
        <w:jc w:val="both"/>
        <w:rPr>
          <w:rFonts w:ascii="宋体" w:cs="Times New Roman"/>
        </w:rPr>
      </w:pPr>
      <w:r>
        <w:rPr>
          <w:rFonts w:hint="eastAsia" w:ascii="宋体" w:hAnsi="宋体" w:cs="宋体"/>
          <w:b/>
          <w:bCs/>
          <w:color w:val="333333"/>
        </w:rPr>
        <w:t>六、其他需要报告的事项</w:t>
      </w:r>
    </w:p>
    <w:p>
      <w:pPr>
        <w:pStyle w:val="2"/>
        <w:widowControl/>
        <w:spacing w:line="432" w:lineRule="auto"/>
        <w:ind w:firstLine="420"/>
        <w:jc w:val="both"/>
        <w:rPr>
          <w:rFonts w:ascii="宋体" w:cs="Times New Roman"/>
        </w:rPr>
      </w:pPr>
      <w:r>
        <w:rPr>
          <w:rFonts w:hint="eastAsia" w:ascii="宋体" w:hAnsi="宋体" w:cs="宋体"/>
          <w:color w:val="333333"/>
        </w:rPr>
        <w:t>无</w:t>
      </w: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9494ECF"/>
    <w:rsid w:val="001F55B7"/>
    <w:rsid w:val="005F25A9"/>
    <w:rsid w:val="00646738"/>
    <w:rsid w:val="00856FEB"/>
    <w:rsid w:val="0089681F"/>
    <w:rsid w:val="00A5025C"/>
    <w:rsid w:val="00EC20DA"/>
    <w:rsid w:val="00F03D7C"/>
    <w:rsid w:val="09494ECF"/>
    <w:rsid w:val="324E100C"/>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nhideWhenUsed="0"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Normal (Web)"/>
    <w:basedOn w:val="1"/>
    <w:uiPriority w:val="99"/>
    <w:pPr>
      <w:jc w:val="left"/>
    </w:pPr>
    <w:rPr>
      <w:kern w:val="0"/>
      <w:sz w:val="24"/>
      <w:szCs w:val="24"/>
    </w:rPr>
  </w:style>
  <w:style w:type="character" w:styleId="4">
    <w:name w:val="FollowedHyperlink"/>
    <w:basedOn w:val="3"/>
    <w:uiPriority w:val="99"/>
    <w:rPr>
      <w:color w:val="000000"/>
      <w:u w:val="none"/>
    </w:rPr>
  </w:style>
  <w:style w:type="character" w:styleId="5">
    <w:name w:val="Hyperlink"/>
    <w:basedOn w:val="3"/>
    <w:uiPriority w:val="99"/>
    <w:rPr>
      <w:color w:val="000000"/>
      <w:u w:val="none"/>
    </w:rPr>
  </w:style>
  <w:style w:type="character" w:styleId="6">
    <w:name w:val="HTML Code"/>
    <w:basedOn w:val="3"/>
    <w:uiPriority w:val="99"/>
    <w:rPr>
      <w:rFonts w:ascii="Courier New" w:hAnsi="Courier New" w:cs="Courier New"/>
      <w:sz w:val="20"/>
      <w:szCs w:val="20"/>
    </w:rPr>
  </w:style>
  <w:style w:type="character" w:customStyle="1" w:styleId="8">
    <w:name w:val="bg01"/>
    <w:basedOn w:val="3"/>
    <w:uiPriority w:val="99"/>
    <w:rPr/>
  </w:style>
  <w:style w:type="character" w:customStyle="1" w:styleId="9">
    <w:name w:val="m01"/>
    <w:basedOn w:val="3"/>
    <w:uiPriority w:val="99"/>
    <w:rPr/>
  </w:style>
  <w:style w:type="character" w:customStyle="1" w:styleId="10">
    <w:name w:val="m011"/>
    <w:basedOn w:val="3"/>
    <w:uiPriority w:val="99"/>
    <w:rPr/>
  </w:style>
  <w:style w:type="character" w:customStyle="1" w:styleId="11">
    <w:name w:val="name"/>
    <w:basedOn w:val="3"/>
    <w:uiPriority w:val="99"/>
    <w:rPr>
      <w:color w:val="auto"/>
      <w:u w:val="single"/>
    </w:rPr>
  </w:style>
  <w:style w:type="character" w:customStyle="1" w:styleId="12">
    <w:name w:val="dates"/>
    <w:basedOn w:val="3"/>
    <w:uiPriority w:val="99"/>
    <w:rPr/>
  </w:style>
  <w:style w:type="character" w:customStyle="1" w:styleId="13">
    <w:name w:val="gwds_nopic"/>
    <w:basedOn w:val="3"/>
    <w:uiPriority w:val="99"/>
    <w:rPr/>
  </w:style>
  <w:style w:type="character" w:customStyle="1" w:styleId="14">
    <w:name w:val="gwds_nopic1"/>
    <w:basedOn w:val="3"/>
    <w:uiPriority w:val="99"/>
    <w:rPr/>
  </w:style>
  <w:style w:type="character" w:customStyle="1" w:styleId="15">
    <w:name w:val="font2"/>
    <w:basedOn w:val="3"/>
    <w:uiPriority w:val="99"/>
    <w:rPr/>
  </w:style>
  <w:style w:type="character" w:customStyle="1" w:styleId="16">
    <w:name w:val="font3"/>
    <w:basedOn w:val="3"/>
    <w:uiPriority w:val="99"/>
    <w:rPr/>
  </w:style>
  <w:style w:type="character" w:customStyle="1" w:styleId="17">
    <w:name w:val="laypage_curr"/>
    <w:basedOn w:val="3"/>
    <w:uiPriority w:val="99"/>
    <w:rPr>
      <w:color w:val="auto"/>
      <w:shd w:val="clear" w:color="auto" w:fill="auto"/>
    </w:rPr>
  </w:style>
  <w:style w:type="character" w:customStyle="1" w:styleId="18">
    <w:name w:val="tabg"/>
    <w:basedOn w:val="3"/>
    <w:uiPriority w:val="99"/>
    <w:rPr>
      <w:color w:val="FFFFFF"/>
      <w:sz w:val="27"/>
      <w:szCs w:val="27"/>
    </w:rPr>
  </w:style>
  <w:style w:type="character" w:customStyle="1" w:styleId="19">
    <w:name w:val="bg02"/>
    <w:basedOn w:val="3"/>
    <w:uiPriority w:val="99"/>
    <w:rPr/>
  </w:style>
  <w:style w:type="character" w:customStyle="1" w:styleId="20">
    <w:name w:val="more4"/>
    <w:basedOn w:val="3"/>
    <w:uiPriority w:val="99"/>
    <w:rPr>
      <w:color w:val="auto"/>
      <w:sz w:val="18"/>
      <w:szCs w:val="18"/>
    </w:rPr>
  </w:style>
  <w:style w:type="character" w:customStyle="1" w:styleId="21">
    <w:name w:val="hover24"/>
    <w:basedOn w:val="3"/>
    <w:uiPriority w:val="99"/>
    <w:rPr>
      <w:color w:val="auto"/>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潮州市直及下属单位</Company>
  <Pages>4</Pages>
  <Words>352</Words>
  <Characters>2009</Characters>
  <Lines>0</Lines>
  <Paragraphs>0</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2020-01-14T03:16:00Z</dcterms:created>
  <dc:creator>Administrator</dc:creator>
  <cp:lastModifiedBy>Administrator</cp:lastModifiedBy>
  <dcterms:modified xsi:type="dcterms:W3CDTF">2020-01-31T02:42:52Z</dcterms:modified>
  <dc:title>湘桥区工信局信息公开年度报告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