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湘桥区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扶贫开发资金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资产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收益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《广东省精准扶贫开发资金筹集使用监管办法》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粤财农[2016]166号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《转发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关于做好新时期精准扶贫精准脱贫资产收益扶贫工作指导意见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潮农[201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]106</w:t>
      </w:r>
      <w:r>
        <w:rPr>
          <w:rFonts w:hint="eastAsia" w:ascii="仿宋_GB2312" w:eastAsia="仿宋_GB2312"/>
          <w:sz w:val="32"/>
          <w:szCs w:val="32"/>
          <w:lang w:eastAsia="zh-CN"/>
        </w:rPr>
        <w:t>号）</w:t>
      </w:r>
      <w:r>
        <w:rPr>
          <w:rFonts w:hint="eastAsia" w:ascii="仿宋_GB2312" w:eastAsia="仿宋_GB2312"/>
          <w:sz w:val="32"/>
          <w:szCs w:val="32"/>
        </w:rPr>
        <w:t>有关规定，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为实现扶贫开发资金长期稳定发挥效益，资产收益扶贫规范、健康、有序发展,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不断巩固提升脱贫攻坚成果，接续推进全面脱贫与乡村振兴有效衔接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结合我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实际，特制定本实施方案。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习近平新时代中国特色社会主义思想为指导，深入贯彻党中央、省、市、区关于脱贫攻坚的决策部署，以巩固提升脱贫人口脱贫成果为目标，密切产业发展与脱贫户利益联结，建立健全资产收益长效机制，拓宽脱贫户的增收致富渠道，坚决守住脱贫攻坚成果，做好巩固拓展脱贫攻坚成果同乡村振兴的有效衔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选好主体，强化风控。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选好资产收益扶贫实施主体（治理结构完善、财务管理健全、经营状况良好、经济实力强、乐于扶贫助困且诚信守约的企业），依托投资实施企业扶持脱贫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户的经营模式,参与企业的分红,实现资产收益扶贫，巩固拓展脱贫攻坚成果。考虑产业特点和市场平均投资回报率，建立健全收益分配机制，兼顾各方利益。加强风险管控，防止系统性风险。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完善制度，规范运行。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建立公平合理的利益分配机制。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扶贫资产管理领导小组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负责收益分配的实施,并将相关分配数据在政府网进行公示。建立协调顺畅、监督有力的项目管理机制，充分发挥各级各部门的监督作用,确保资产收益扶贫规范运行。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根据《关于印发&lt;湘桥区新时期精准扶贫开发资金管理办法&gt;的通知》（潮湘财[2017]12号）关于项目实施相关规定的通知精神，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扶贫资产管理领导小组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进行综合分析评估,把实施方案进行公示五个工作日后，项目实施方案由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扶贫资产管理领导小组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会议审议通过，并报区政府备案。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扶贫资产管理领导小组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本着公正、公平、公开的原则,确定潮州市瀛洲新型城镇化产业投资基金企业（有限合伙）作为合作的实施主体。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由区农业农村局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（区乡村振兴局）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与潮州市瀛洲新型城镇化产业投资基金企业（有限合伙）签订投资协议，从全区可统筹扶贫开发资金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426.463273万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（其中小额贷款贴息资金和风险担保金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188.958473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磷溪镇109.1536万元，官塘镇40.1462万元，铁铺镇40.7784万元，桥东街道30.2002万元，城西街道17.2264万元）作为投资额，投资到潮州市瀛洲新型城镇化产业投资基金企业（有限合伙），用于潮州市市区智慧停车系统（步道部分）建设项目，投资期为5年。被投资方</w:t>
      </w:r>
      <w:r>
        <w:rPr>
          <w:rFonts w:hint="eastAsia" w:ascii="仿宋" w:hAnsi="仿宋" w:eastAsia="仿宋"/>
          <w:sz w:val="32"/>
          <w:highlight w:val="none"/>
          <w:lang w:eastAsia="zh-CN"/>
        </w:rPr>
        <w:t>实际收费收入的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10%作为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项目投资收益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后，按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区农业农村局（区乡村振兴局）和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潮州市瀛洲新型城镇化产业投资基金企业（有限合伙）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双方投资比例进行分配，如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区农业农村局（区乡村振兴局）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的分配收益低于投入本金的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10%，则由潮州市瀛洲新型城镇化产业投资基金企业（有限合伙）补足，返利于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区农业农村局（区乡村振兴局）。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被投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资方承诺投资方5年内(自项目资金全部到位之日起)投资收益以每年12月31日为结算日，次月20个工作日内返回给投资方，由投资方根据《湘桥区扶贫开发资金资产收益项目实施方案》的规定，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“十四五”时期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资产收益分配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中共潮州市湘桥区委实施乡村振兴战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略领导小组研究同意后，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用于巩固拓展脱贫攻坚成果和村级公益事业建设等乡村振兴项目，适当向脱贫不稳定户、边缘易致贫户、突发严重困难等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因病、因残、因灾等意外变故返贫致贫的家庭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倾斜。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合作期结束后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20个工作日内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甲方向乙方收回资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4264632.73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472" w:firstLineChars="147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（区乡村振兴局）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要把握正确方向，谋划和部署好资产收益扶贫工作，要切实承担起资产收益扶贫工作的职责，协调相关部门加大对资产收益扶贫工作的支持。要精心组织，抓好项目实施并强化管理,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加强政策互动、工作联动和信息共享,共同关注资金动向,确保资金的安全和保护</w:t>
      </w:r>
      <w:r>
        <w:rPr>
          <w:rFonts w:hint="eastAsia" w:ascii="仿宋_GB2312" w:eastAsia="仿宋_GB2312" w:cs="Times New Roman"/>
          <w:kern w:val="2"/>
          <w:sz w:val="32"/>
          <w:szCs w:val="32"/>
          <w:lang w:val="zh-CN" w:eastAsia="zh-CN" w:bidi="ar-SA"/>
        </w:rPr>
        <w:t>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贫人口的合法权益。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（二）强化风险防控。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坚持问题导向，强化风险意识，及时发现和纠正工作中出现的苗头性、趋向性问题，杜绝出现区域性、系统性风险。要明确实施主体作为项目经营主体的权利和义务，经营主体享有依法经营的自主权，承担项目经营风险，依法按约支付收益金。鼓励实施主体购买商业保险，分散和降低经营风险，增强履约偿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（三）严格监督管理。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区财政局、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区乡村振兴局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要切实加强资金监管，开展经常性监督检查，及时发现问题，抓好整改落实。落实公开公示制度，确保群众的监督权、知情权，自觉接受社会监督。积极发挥驻镇（带农街道）帮扶工作组、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驻镇帮镇扶村工作队、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驻村干部、村（居）委会等的监督作用。对在资产收益扶贫工作中挤占、挪用、套取财政资金，非法处置国有或集体资产，及其他违法违纪违规行为，按照有关规定严肃查处。对骗取套取财政补助资金、不依法履约以及存在其他损害群众利益行为的实施主体，要强化对其的失信惩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（四）营造良好氛围。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要广泛开展资产收益扶贫政策宣传，所有结对帮扶干部和村两委干部要向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脱贫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户做好投资收益项目的基本情况和收益分红方式的宣传,提高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脱贫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人口对本扶贫项目的知晓度，增强主体意识和参与积极性。要及时总结经验做法，加强相互交流，营造有利于资产收益扶贫工作开展的良好氛围。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09EE4"/>
    <w:multiLevelType w:val="singleLevel"/>
    <w:tmpl w:val="BFA09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46DE"/>
    <w:rsid w:val="0B8B6B5D"/>
    <w:rsid w:val="19087CA4"/>
    <w:rsid w:val="19CE687C"/>
    <w:rsid w:val="1C55390D"/>
    <w:rsid w:val="255E1433"/>
    <w:rsid w:val="2B9D4B19"/>
    <w:rsid w:val="35405BDB"/>
    <w:rsid w:val="357F34E0"/>
    <w:rsid w:val="3BC52029"/>
    <w:rsid w:val="5BBB49A7"/>
    <w:rsid w:val="5C677064"/>
    <w:rsid w:val="654A5B13"/>
    <w:rsid w:val="71A5522C"/>
    <w:rsid w:val="74E9247C"/>
    <w:rsid w:val="759709E9"/>
    <w:rsid w:val="780E242E"/>
    <w:rsid w:val="794473A4"/>
    <w:rsid w:val="7E2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260" w:after="260" w:line="413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(2)"/>
    <w:basedOn w:val="1"/>
    <w:link w:val="6"/>
    <w:qFormat/>
    <w:uiPriority w:val="0"/>
    <w:pPr>
      <w:shd w:val="clear" w:color="auto" w:fill="FFFFFF"/>
      <w:spacing w:before="780" w:line="557" w:lineRule="exact"/>
      <w:jc w:val="distribute"/>
    </w:pPr>
    <w:rPr>
      <w:rFonts w:ascii="微软雅黑" w:eastAsia="微软雅黑"/>
      <w:kern w:val="0"/>
      <w:sz w:val="30"/>
      <w:szCs w:val="30"/>
    </w:rPr>
  </w:style>
  <w:style w:type="character" w:customStyle="1" w:styleId="6">
    <w:name w:val="正文文本 (2)_"/>
    <w:basedOn w:val="4"/>
    <w:link w:val="5"/>
    <w:qFormat/>
    <w:uiPriority w:val="0"/>
    <w:rPr>
      <w:rFonts w:ascii="微软雅黑" w:eastAsia="微软雅黑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Administrator.PC-20190423CQPQ</dc:creator>
  <cp:lastModifiedBy>陈麦兜</cp:lastModifiedBy>
  <dcterms:modified xsi:type="dcterms:W3CDTF">2021-10-09T01:59:30Z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