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74" w:beforeAutospacing="0" w:after="144" w:afterAutospacing="0" w:line="605" w:lineRule="atLeast"/>
        <w:ind w:left="0" w:right="0" w:firstLine="0"/>
        <w:jc w:val="center"/>
        <w:rPr>
          <w:rFonts w:hint="eastAsia" w:ascii="方正小标宋简体" w:hAnsi="方正小标宋简体" w:eastAsia="方正小标宋简体" w:cs="方正小标宋简体"/>
          <w:i w:val="0"/>
          <w:iCs w:val="0"/>
          <w:caps w:val="0"/>
          <w:color w:val="000000" w:themeColor="text1"/>
          <w:spacing w:val="0"/>
          <w:sz w:val="44"/>
          <w:szCs w:val="44"/>
          <w14:textFill>
            <w14:solidFill>
              <w14:schemeClr w14:val="tx1"/>
            </w14:solidFill>
          </w14:textFill>
        </w:rPr>
      </w:pPr>
      <w:r>
        <w:rPr>
          <w:rStyle w:val="5"/>
          <w:rFonts w:hint="eastAsia" w:ascii="方正小标宋简体" w:hAnsi="方正小标宋简体" w:eastAsia="方正小标宋简体" w:cs="方正小标宋简体"/>
          <w:i w:val="0"/>
          <w:iCs w:val="0"/>
          <w:caps w:val="0"/>
          <w:color w:val="000000" w:themeColor="text1"/>
          <w:spacing w:val="0"/>
          <w:sz w:val="44"/>
          <w:szCs w:val="44"/>
          <w:shd w:val="clear" w:fill="FFFFFF"/>
          <w:lang w:eastAsia="zh-CN"/>
          <w14:textFill>
            <w14:solidFill>
              <w14:schemeClr w14:val="tx1"/>
            </w14:solidFill>
          </w14:textFill>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74" w:beforeAutospacing="0" w:after="144" w:afterAutospacing="0" w:line="605" w:lineRule="atLeast"/>
        <w:ind w:left="0" w:right="0" w:firstLine="0"/>
        <w:jc w:val="both"/>
        <w:rPr>
          <w:rFonts w:hint="eastAsia" w:ascii="黑体" w:hAnsi="黑体" w:eastAsia="黑体" w:cs="黑体"/>
          <w:i w:val="0"/>
          <w:iCs w:val="0"/>
          <w:caps w:val="0"/>
          <w:color w:val="000000" w:themeColor="text1"/>
          <w:spacing w:val="0"/>
          <w:sz w:val="32"/>
          <w:szCs w:val="32"/>
          <w14:textFill>
            <w14:solidFill>
              <w14:schemeClr w14:val="tx1"/>
            </w14:solidFill>
          </w14:textFill>
        </w:rPr>
      </w:pPr>
      <w:r>
        <w:rPr>
          <w:rFonts w:hint="eastAsia" w:ascii="黑体" w:hAnsi="黑体" w:eastAsia="黑体" w:cs="黑体"/>
          <w:i w:val="0"/>
          <w:iCs w:val="0"/>
          <w:caps w:val="0"/>
          <w:color w:val="000000" w:themeColor="text1"/>
          <w:spacing w:val="0"/>
          <w:sz w:val="26"/>
          <w:szCs w:val="26"/>
          <w:shd w:val="clear" w:fill="FFFFFF"/>
          <w:lang w:eastAsia="zh-CN"/>
          <w14:textFill>
            <w14:solidFill>
              <w14:schemeClr w14:val="tx1"/>
            </w14:solidFill>
          </w14:textFill>
        </w:rPr>
        <w:t>　</w:t>
      </w:r>
      <w:r>
        <w:rPr>
          <w:rFonts w:hint="eastAsia" w:ascii="黑体" w:hAnsi="黑体" w:eastAsia="黑体" w:cs="黑体"/>
          <w:i w:val="0"/>
          <w:iCs w:val="0"/>
          <w:caps w:val="0"/>
          <w:color w:val="000000" w:themeColor="text1"/>
          <w:spacing w:val="0"/>
          <w:sz w:val="26"/>
          <w:szCs w:val="26"/>
          <w:shd w:val="clear" w:fill="FFFFFF"/>
          <w:lang w:val="en-US" w:eastAsia="zh-CN"/>
          <w14:textFill>
            <w14:solidFill>
              <w14:schemeClr w14:val="tx1"/>
            </w14:solidFill>
          </w14:textFill>
        </w:rPr>
        <w:t xml:space="preserve">   </w:t>
      </w:r>
      <w:r>
        <w:rPr>
          <w:rStyle w:val="5"/>
          <w:rFonts w:hint="eastAsia" w:ascii="黑体" w:hAnsi="黑体" w:eastAsia="黑体" w:cs="黑体"/>
          <w:b w:val="0"/>
          <w:bCs/>
          <w:i w:val="0"/>
          <w:iCs w:val="0"/>
          <w:caps w:val="0"/>
          <w:color w:val="000000" w:themeColor="text1"/>
          <w:spacing w:val="0"/>
          <w:sz w:val="32"/>
          <w:szCs w:val="32"/>
          <w:shd w:val="clear" w:fill="FFFFFF"/>
          <w:lang w:eastAsia="zh-CN"/>
          <w14:textFill>
            <w14:solidFill>
              <w14:schemeClr w14:val="tx1"/>
            </w14:solidFill>
          </w14:textFill>
        </w:rPr>
        <w:t>第一部分  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74" w:beforeAutospacing="0" w:after="144" w:afterAutospacing="0" w:line="605" w:lineRule="atLeast"/>
        <w:ind w:left="0" w:right="0" w:firstLine="0"/>
        <w:jc w:val="both"/>
        <w:rPr>
          <w:rFonts w:hint="eastAsia" w:ascii="仿宋_GB2312" w:hAnsi="仿宋_GB2312" w:eastAsia="仿宋_GB2312" w:cs="仿宋_GB2312"/>
          <w:b/>
          <w:bCs/>
          <w:i w:val="0"/>
          <w:iCs w:val="0"/>
          <w:caps w:val="0"/>
          <w:color w:val="000000" w:themeColor="text1"/>
          <w:spacing w:val="0"/>
          <w:sz w:val="32"/>
          <w:szCs w:val="32"/>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32"/>
          <w:szCs w:val="32"/>
          <w:shd w:val="clear" w:fill="FFFFFF"/>
          <w:lang w:eastAsia="zh-CN"/>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　</w:t>
      </w:r>
      <w:r>
        <w:rPr>
          <w:rFonts w:hint="eastAsia" w:ascii="仿宋_GB2312" w:hAnsi="仿宋_GB2312" w:eastAsia="仿宋_GB2312" w:cs="仿宋_GB2312"/>
          <w:b/>
          <w:bCs/>
          <w:i w:val="0"/>
          <w:iCs w:val="0"/>
          <w:caps w:val="0"/>
          <w:color w:val="000000" w:themeColor="text1"/>
          <w:spacing w:val="0"/>
          <w:sz w:val="32"/>
          <w:szCs w:val="32"/>
          <w:shd w:val="clear" w:fill="FFFFFF"/>
          <w:lang w:eastAsia="zh-CN"/>
          <w14:textFill>
            <w14:solidFill>
              <w14:schemeClr w14:val="tx1"/>
            </w14:solidFill>
          </w14:textFill>
        </w:rPr>
        <w:t>一、主要依据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74" w:beforeAutospacing="0" w:after="144" w:afterAutospacing="0" w:line="605" w:lineRule="atLeast"/>
        <w:ind w:left="0" w:right="0" w:firstLine="0"/>
        <w:jc w:val="both"/>
        <w:rPr>
          <w:rFonts w:hint="eastAsia" w:ascii="仿宋_GB2312" w:hAnsi="仿宋_GB2312" w:eastAsia="仿宋_GB2312" w:cs="仿宋_GB2312"/>
          <w:b/>
          <w:bCs/>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eastAsia="zh-CN"/>
          <w14:textFill>
            <w14:solidFill>
              <w14:schemeClr w14:val="tx1"/>
            </w14:solidFill>
          </w14:textFill>
        </w:rPr>
        <w:t>　　二、公开主体、公开方式和咨询监督渠道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74" w:beforeAutospacing="0" w:after="144" w:afterAutospacing="0" w:line="605" w:lineRule="atLeast"/>
        <w:ind w:left="0" w:right="0" w:firstLine="0"/>
        <w:jc w:val="both"/>
        <w:rPr>
          <w:rFonts w:hint="eastAsia" w:ascii="微软雅黑" w:hAnsi="微软雅黑" w:eastAsia="微软雅黑" w:cs="微软雅黑"/>
          <w:i w:val="0"/>
          <w:iCs w:val="0"/>
          <w:caps w:val="0"/>
          <w:color w:val="000000" w:themeColor="text1"/>
          <w:spacing w:val="0"/>
          <w:sz w:val="32"/>
          <w:szCs w:val="32"/>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32"/>
          <w:szCs w:val="32"/>
          <w:shd w:val="clear" w:fill="FFFFFF"/>
          <w:lang w:eastAsia="zh-CN"/>
          <w14:textFill>
            <w14:solidFill>
              <w14:schemeClr w14:val="tx1"/>
            </w14:solidFill>
          </w14:textFill>
        </w:rPr>
        <w:t>　</w:t>
      </w:r>
      <w:r>
        <w:rPr>
          <w:rFonts w:hint="eastAsia" w:ascii="黑体" w:hAnsi="黑体" w:eastAsia="黑体" w:cs="黑体"/>
          <w:i w:val="0"/>
          <w:iCs w:val="0"/>
          <w:caps w:val="0"/>
          <w:color w:val="000000" w:themeColor="text1"/>
          <w:spacing w:val="0"/>
          <w:sz w:val="32"/>
          <w:szCs w:val="32"/>
          <w:shd w:val="clear" w:fill="FFFFFF"/>
          <w:lang w:eastAsia="zh-CN"/>
          <w14:textFill>
            <w14:solidFill>
              <w14:schemeClr w14:val="tx1"/>
            </w14:solidFill>
          </w14:textFill>
        </w:rPr>
        <w:t>　</w:t>
      </w:r>
      <w:r>
        <w:rPr>
          <w:rStyle w:val="5"/>
          <w:rFonts w:hint="eastAsia" w:ascii="黑体" w:hAnsi="黑体" w:eastAsia="黑体" w:cs="黑体"/>
          <w:i w:val="0"/>
          <w:iCs w:val="0"/>
          <w:caps w:val="0"/>
          <w:color w:val="000000" w:themeColor="text1"/>
          <w:spacing w:val="0"/>
          <w:sz w:val="32"/>
          <w:szCs w:val="32"/>
          <w:shd w:val="clear" w:fill="FFFFFF"/>
          <w:lang w:eastAsia="zh-CN"/>
          <w14:textFill>
            <w14:solidFill>
              <w14:schemeClr w14:val="tx1"/>
            </w14:solidFill>
          </w14:textFill>
        </w:rPr>
        <w:t>第二部分  主动公开基本目录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74" w:beforeAutospacing="0" w:after="144" w:afterAutospacing="0" w:line="605" w:lineRule="atLeast"/>
        <w:ind w:left="0" w:right="0" w:firstLine="0"/>
        <w:jc w:val="center"/>
        <w:rPr>
          <w:rFonts w:hint="eastAsia" w:ascii="微软雅黑" w:hAnsi="微软雅黑" w:eastAsia="微软雅黑" w:cs="微软雅黑"/>
          <w:i w:val="0"/>
          <w:iCs w:val="0"/>
          <w:caps w:val="0"/>
          <w:color w:val="000000" w:themeColor="text1"/>
          <w:spacing w:val="0"/>
          <w:sz w:val="32"/>
          <w:szCs w:val="32"/>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32"/>
          <w:szCs w:val="32"/>
          <w:shd w:val="clear" w:fill="FFFFFF"/>
          <w:lang w:eastAsia="zh-CN"/>
          <w14:textFill>
            <w14:solidFill>
              <w14:schemeClr w14:val="tx1"/>
            </w14:solidFill>
          </w14:textFill>
        </w:rPr>
        <w:t>　</w:t>
      </w:r>
      <w:r>
        <w:rPr>
          <w:rStyle w:val="5"/>
          <w:rFonts w:hint="eastAsia" w:ascii="黑体" w:hAnsi="黑体" w:eastAsia="黑体" w:cs="黑体"/>
          <w:i w:val="0"/>
          <w:iCs w:val="0"/>
          <w:caps w:val="0"/>
          <w:color w:val="000000" w:themeColor="text1"/>
          <w:spacing w:val="0"/>
          <w:sz w:val="32"/>
          <w:szCs w:val="32"/>
          <w:shd w:val="clear" w:fill="FFFFFF"/>
          <w:lang w:eastAsia="zh-CN"/>
          <w14:textFill>
            <w14:solidFill>
              <w14:schemeClr w14:val="tx1"/>
            </w14:solidFill>
          </w14:textFill>
        </w:rPr>
        <w:t>　第一部分  概  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74" w:beforeAutospacing="0" w:after="144" w:afterAutospacing="0" w:line="605" w:lineRule="atLeast"/>
        <w:ind w:left="0" w:right="0" w:firstLine="0"/>
        <w:jc w:val="both"/>
        <w:rPr>
          <w:rFonts w:hint="eastAsia" w:ascii="微软雅黑" w:hAnsi="微软雅黑" w:eastAsia="微软雅黑" w:cs="微软雅黑"/>
          <w:i w:val="0"/>
          <w:iCs w:val="0"/>
          <w:caps w:val="0"/>
          <w:color w:val="000000" w:themeColor="text1"/>
          <w:spacing w:val="0"/>
          <w:sz w:val="32"/>
          <w:szCs w:val="32"/>
          <w14:textFill>
            <w14:solidFill>
              <w14:schemeClr w14:val="tx1"/>
            </w14:solidFill>
          </w14:textFill>
        </w:rPr>
      </w:pPr>
      <w:r>
        <w:rPr>
          <w:rStyle w:val="5"/>
          <w:rFonts w:hint="eastAsia" w:ascii="微软雅黑" w:hAnsi="微软雅黑" w:eastAsia="微软雅黑" w:cs="微软雅黑"/>
          <w:i w:val="0"/>
          <w:iCs w:val="0"/>
          <w:caps w:val="0"/>
          <w:color w:val="000000" w:themeColor="text1"/>
          <w:spacing w:val="0"/>
          <w:sz w:val="32"/>
          <w:szCs w:val="32"/>
          <w:shd w:val="clear" w:fill="FFFFFF"/>
          <w:lang w:eastAsia="zh-CN"/>
          <w14:textFill>
            <w14:solidFill>
              <w14:schemeClr w14:val="tx1"/>
            </w14:solidFill>
          </w14:textFill>
        </w:rPr>
        <w:t>　</w:t>
      </w:r>
      <w:r>
        <w:rPr>
          <w:rStyle w:val="5"/>
          <w:rFonts w:hint="eastAsia" w:ascii="微软雅黑" w:hAnsi="微软雅黑" w:eastAsia="微软雅黑" w:cs="微软雅黑"/>
          <w:b w:val="0"/>
          <w:bCs/>
          <w:i w:val="0"/>
          <w:iCs w:val="0"/>
          <w:caps w:val="0"/>
          <w:color w:val="000000" w:themeColor="text1"/>
          <w:spacing w:val="0"/>
          <w:sz w:val="32"/>
          <w:szCs w:val="32"/>
          <w:shd w:val="clear" w:fill="FFFFFF"/>
          <w:lang w:eastAsia="zh-CN"/>
          <w14:textFill>
            <w14:solidFill>
              <w14:schemeClr w14:val="tx1"/>
            </w14:solidFill>
          </w14:textFill>
        </w:rPr>
        <w:t>　</w:t>
      </w:r>
      <w:r>
        <w:rPr>
          <w:rStyle w:val="5"/>
          <w:rFonts w:hint="eastAsia" w:ascii="黑体" w:hAnsi="黑体" w:eastAsia="黑体" w:cs="黑体"/>
          <w:b w:val="0"/>
          <w:bCs/>
          <w:i w:val="0"/>
          <w:iCs w:val="0"/>
          <w:caps w:val="0"/>
          <w:color w:val="000000" w:themeColor="text1"/>
          <w:spacing w:val="0"/>
          <w:sz w:val="32"/>
          <w:szCs w:val="32"/>
          <w:shd w:val="clear" w:fill="FFFFFF"/>
          <w:lang w:eastAsia="zh-CN"/>
          <w14:textFill>
            <w14:solidFill>
              <w14:schemeClr w14:val="tx1"/>
            </w14:solidFill>
          </w14:textFill>
        </w:rPr>
        <w:t>一、主要依据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74" w:beforeAutospacing="0" w:after="144" w:afterAutospacing="0" w:line="605" w:lineRule="atLeast"/>
        <w:ind w:left="0" w:right="0" w:firstLine="0"/>
        <w:jc w:val="both"/>
        <w:rPr>
          <w:rFonts w:hint="eastAsia" w:ascii="仿宋_GB2312" w:hAnsi="仿宋_GB2312" w:eastAsia="仿宋_GB2312" w:cs="仿宋_GB2312"/>
          <w:b/>
          <w:bCs/>
          <w:i w:val="0"/>
          <w:iCs w:val="0"/>
          <w:caps w:val="0"/>
          <w:color w:val="000000" w:themeColor="text1"/>
          <w:spacing w:val="0"/>
          <w:sz w:val="32"/>
          <w:szCs w:val="32"/>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32"/>
          <w:szCs w:val="32"/>
          <w:shd w:val="clear" w:fill="FFFFFF"/>
          <w:lang w:eastAsia="zh-CN"/>
          <w14:textFill>
            <w14:solidFill>
              <w14:schemeClr w14:val="tx1"/>
            </w14:solidFill>
          </w14:textFill>
        </w:rPr>
        <w:t>　　</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1.</w:t>
      </w:r>
      <w:r>
        <w:rPr>
          <w:rFonts w:hint="eastAsia" w:ascii="仿宋_GB2312" w:hAnsi="仿宋_GB2312" w:eastAsia="仿宋_GB2312" w:cs="仿宋_GB2312"/>
          <w:b/>
          <w:bCs/>
          <w:i w:val="0"/>
          <w:iCs w:val="0"/>
          <w:caps w:val="0"/>
          <w:color w:val="000000" w:themeColor="text1"/>
          <w:spacing w:val="0"/>
          <w:sz w:val="32"/>
          <w:szCs w:val="32"/>
          <w:shd w:val="clear" w:fill="FFFFFF"/>
          <w:lang w:eastAsia="zh-CN"/>
          <w14:textFill>
            <w14:solidFill>
              <w14:schemeClr w14:val="tx1"/>
            </w14:solidFill>
          </w14:textFill>
        </w:rPr>
        <w:t>《中华人民共和国政府信息公开条例》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74" w:beforeAutospacing="0" w:after="144" w:afterAutospacing="0" w:line="605" w:lineRule="atLeast"/>
        <w:ind w:left="0" w:right="0" w:firstLine="0"/>
        <w:jc w:val="both"/>
        <w:rPr>
          <w:rFonts w:hint="eastAsia" w:ascii="仿宋_GB2312" w:hAnsi="仿宋_GB2312" w:eastAsia="仿宋_GB2312" w:cs="仿宋_GB2312"/>
          <w:b/>
          <w:bCs/>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eastAsia="zh-CN"/>
          <w14:textFill>
            <w14:solidFill>
              <w14:schemeClr w14:val="tx1"/>
            </w14:solidFill>
          </w14:textFill>
        </w:rPr>
        <w:t>　　</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2.</w:t>
      </w:r>
      <w:r>
        <w:rPr>
          <w:rFonts w:hint="eastAsia" w:ascii="仿宋_GB2312" w:hAnsi="仿宋_GB2312" w:eastAsia="仿宋_GB2312" w:cs="仿宋_GB2312"/>
          <w:b/>
          <w:bCs/>
          <w:i w:val="0"/>
          <w:iCs w:val="0"/>
          <w:caps w:val="0"/>
          <w:color w:val="000000" w:themeColor="text1"/>
          <w:spacing w:val="0"/>
          <w:sz w:val="32"/>
          <w:szCs w:val="32"/>
          <w:shd w:val="clear" w:fill="FFFFFF"/>
          <w:lang w:eastAsia="zh-CN"/>
          <w14:textFill>
            <w14:solidFill>
              <w14:schemeClr w14:val="tx1"/>
            </w14:solidFill>
          </w14:textFill>
        </w:rPr>
        <w:t>中共中央办公厅、国务院办公厅《关于全面推进政务公开工作的意见》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74" w:beforeAutospacing="0" w:after="144" w:afterAutospacing="0" w:line="605" w:lineRule="atLeast"/>
        <w:ind w:left="0" w:right="0" w:firstLine="0"/>
        <w:jc w:val="both"/>
        <w:rPr>
          <w:rFonts w:hint="eastAsia" w:ascii="仿宋_GB2312" w:hAnsi="仿宋_GB2312" w:eastAsia="仿宋_GB2312" w:cs="仿宋_GB2312"/>
          <w:b/>
          <w:bCs/>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eastAsia="zh-CN"/>
          <w14:textFill>
            <w14:solidFill>
              <w14:schemeClr w14:val="tx1"/>
            </w14:solidFill>
          </w14:textFill>
        </w:rPr>
        <w:t>　　</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3.</w:t>
      </w:r>
      <w:r>
        <w:rPr>
          <w:rFonts w:hint="eastAsia" w:ascii="仿宋_GB2312" w:hAnsi="仿宋_GB2312" w:eastAsia="仿宋_GB2312" w:cs="仿宋_GB2312"/>
          <w:b/>
          <w:bCs/>
          <w:i w:val="0"/>
          <w:iCs w:val="0"/>
          <w:caps w:val="0"/>
          <w:color w:val="000000" w:themeColor="text1"/>
          <w:spacing w:val="0"/>
          <w:sz w:val="32"/>
          <w:szCs w:val="32"/>
          <w:shd w:val="clear" w:fill="FFFFFF"/>
          <w:lang w:eastAsia="zh-CN"/>
          <w14:textFill>
            <w14:solidFill>
              <w14:schemeClr w14:val="tx1"/>
            </w14:solidFill>
          </w14:textFill>
        </w:rPr>
        <w:t>《国务院办公厅印发〈关于全面推进政务公开工作的意见〉实施细则的通知》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74" w:beforeAutospacing="0" w:after="144" w:afterAutospacing="0" w:line="605" w:lineRule="atLeast"/>
        <w:ind w:left="0" w:right="0" w:firstLine="0"/>
        <w:jc w:val="both"/>
        <w:rPr>
          <w:rFonts w:hint="eastAsia" w:ascii="仿宋_GB2312" w:hAnsi="仿宋_GB2312" w:eastAsia="仿宋_GB2312" w:cs="仿宋_GB2312"/>
          <w:b/>
          <w:bCs/>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eastAsia="zh-CN"/>
          <w14:textFill>
            <w14:solidFill>
              <w14:schemeClr w14:val="tx1"/>
            </w14:solidFill>
          </w14:textFill>
        </w:rPr>
        <w:t>　　</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4.</w:t>
      </w:r>
      <w:r>
        <w:rPr>
          <w:rFonts w:hint="eastAsia" w:ascii="仿宋_GB2312" w:hAnsi="仿宋_GB2312" w:eastAsia="仿宋_GB2312" w:cs="仿宋_GB2312"/>
          <w:b/>
          <w:bCs/>
          <w:i w:val="0"/>
          <w:iCs w:val="0"/>
          <w:caps w:val="0"/>
          <w:color w:val="000000" w:themeColor="text1"/>
          <w:spacing w:val="0"/>
          <w:sz w:val="32"/>
          <w:szCs w:val="32"/>
          <w:shd w:val="clear" w:fill="FFFFFF"/>
          <w:lang w:eastAsia="zh-CN"/>
          <w14:textFill>
            <w14:solidFill>
              <w14:schemeClr w14:val="tx1"/>
            </w14:solidFill>
          </w14:textFill>
        </w:rPr>
        <w:t>《广东省政府办公厅关于印发省级部门主动公开基本目录》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74" w:beforeAutospacing="0" w:after="144" w:afterAutospacing="0" w:line="605" w:lineRule="atLeast"/>
        <w:ind w:left="0" w:right="0" w:firstLine="0"/>
        <w:jc w:val="both"/>
        <w:rPr>
          <w:rFonts w:hint="eastAsia" w:ascii="仿宋_GB2312" w:hAnsi="仿宋_GB2312" w:eastAsia="仿宋_GB2312" w:cs="仿宋_GB2312"/>
          <w:b/>
          <w:bCs/>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eastAsia="zh-CN"/>
          <w14:textFill>
            <w14:solidFill>
              <w14:schemeClr w14:val="tx1"/>
            </w14:solidFill>
          </w14:textFill>
        </w:rPr>
        <w:t>　　</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5.</w:t>
      </w:r>
      <w:r>
        <w:rPr>
          <w:rFonts w:hint="eastAsia" w:ascii="仿宋_GB2312" w:hAnsi="仿宋_GB2312" w:eastAsia="仿宋_GB2312" w:cs="仿宋_GB2312"/>
          <w:b/>
          <w:bCs/>
          <w:i w:val="0"/>
          <w:iCs w:val="0"/>
          <w:caps w:val="0"/>
          <w:color w:val="000000" w:themeColor="text1"/>
          <w:spacing w:val="0"/>
          <w:sz w:val="32"/>
          <w:szCs w:val="32"/>
          <w:shd w:val="clear" w:fill="FFFFFF"/>
          <w:lang w:eastAsia="zh-CN"/>
          <w14:textFill>
            <w14:solidFill>
              <w14:schemeClr w14:val="tx1"/>
            </w14:solidFill>
          </w14:textFill>
        </w:rPr>
        <w:t>《广东省人民政府办公厅关于进一步推进省市县三级主动公开基本目录编制发布工作的通知》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74" w:beforeAutospacing="0" w:after="144" w:afterAutospacing="0" w:line="605" w:lineRule="atLeast"/>
        <w:ind w:left="0" w:right="0" w:firstLine="0"/>
        <w:jc w:val="both"/>
        <w:rPr>
          <w:rFonts w:hint="eastAsia" w:ascii="微软雅黑" w:hAnsi="微软雅黑" w:eastAsia="微软雅黑" w:cs="微软雅黑"/>
          <w:i w:val="0"/>
          <w:iCs w:val="0"/>
          <w:caps w:val="0"/>
          <w:color w:val="000000" w:themeColor="text1"/>
          <w:spacing w:val="0"/>
          <w:sz w:val="32"/>
          <w:szCs w:val="32"/>
          <w14:textFill>
            <w14:solidFill>
              <w14:schemeClr w14:val="tx1"/>
            </w14:solidFill>
          </w14:textFill>
        </w:rPr>
      </w:pPr>
      <w:r>
        <w:rPr>
          <w:rStyle w:val="5"/>
          <w:rFonts w:hint="eastAsia" w:ascii="微软雅黑" w:hAnsi="微软雅黑" w:eastAsia="微软雅黑" w:cs="微软雅黑"/>
          <w:i w:val="0"/>
          <w:iCs w:val="0"/>
          <w:caps w:val="0"/>
          <w:color w:val="000000" w:themeColor="text1"/>
          <w:spacing w:val="0"/>
          <w:sz w:val="32"/>
          <w:szCs w:val="32"/>
          <w:shd w:val="clear" w:fill="FFFFFF"/>
          <w:lang w:eastAsia="zh-CN"/>
          <w14:textFill>
            <w14:solidFill>
              <w14:schemeClr w14:val="tx1"/>
            </w14:solidFill>
          </w14:textFill>
        </w:rPr>
        <w:t>　　</w:t>
      </w:r>
      <w:r>
        <w:rPr>
          <w:rStyle w:val="5"/>
          <w:rFonts w:hint="eastAsia" w:ascii="黑体" w:hAnsi="黑体" w:eastAsia="黑体" w:cs="黑体"/>
          <w:i w:val="0"/>
          <w:iCs w:val="0"/>
          <w:caps w:val="0"/>
          <w:color w:val="000000" w:themeColor="text1"/>
          <w:spacing w:val="0"/>
          <w:sz w:val="32"/>
          <w:szCs w:val="32"/>
          <w:shd w:val="clear" w:fill="FFFFFF"/>
          <w:lang w:eastAsia="zh-CN"/>
          <w14:textFill>
            <w14:solidFill>
              <w14:schemeClr w14:val="tx1"/>
            </w14:solidFill>
          </w14:textFill>
        </w:rPr>
        <w:t>二、公开主体、公开方式和咨询监督渠道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74" w:beforeAutospacing="0" w:after="144" w:afterAutospacing="0" w:line="605" w:lineRule="atLeast"/>
        <w:ind w:left="0" w:right="0" w:firstLine="547"/>
        <w:jc w:val="both"/>
        <w:rPr>
          <w:rFonts w:hint="eastAsia" w:ascii="仿宋_GB2312" w:hAnsi="仿宋_GB2312" w:eastAsia="仿宋_GB2312" w:cs="仿宋_GB2312"/>
          <w:b/>
          <w:bCs/>
          <w:i w:val="0"/>
          <w:iCs w:val="0"/>
          <w:caps w:val="0"/>
          <w:color w:val="000000" w:themeColor="text1"/>
          <w:spacing w:val="0"/>
          <w:sz w:val="32"/>
          <w:szCs w:val="32"/>
          <w:shd w:val="clear" w:fill="FFFFFF"/>
          <w:lang w:eastAsia="zh-CN"/>
          <w14:textFill>
            <w14:solidFill>
              <w14:schemeClr w14:val="tx1"/>
            </w14:solidFill>
          </w14:textFill>
        </w:rPr>
      </w:pPr>
      <w:r>
        <w:rPr>
          <w:rStyle w:val="5"/>
          <w:rFonts w:hint="eastAsia" w:ascii="黑体" w:hAnsi="黑体" w:eastAsia="黑体" w:cs="黑体"/>
          <w:i w:val="0"/>
          <w:iCs w:val="0"/>
          <w:caps w:val="0"/>
          <w:color w:val="000000" w:themeColor="text1"/>
          <w:spacing w:val="0"/>
          <w:sz w:val="32"/>
          <w:szCs w:val="32"/>
          <w:shd w:val="clear" w:fill="FFFFFF"/>
          <w:lang w:eastAsia="zh-CN"/>
          <w14:textFill>
            <w14:solidFill>
              <w14:schemeClr w14:val="tx1"/>
            </w14:solidFill>
          </w14:textFill>
        </w:rPr>
        <w:t>【公开主体】</w:t>
      </w:r>
      <w:r>
        <w:rPr>
          <w:rStyle w:val="5"/>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b/>
          <w:bCs/>
          <w:i w:val="0"/>
          <w:iCs w:val="0"/>
          <w:caps w:val="0"/>
          <w:color w:val="000000" w:themeColor="text1"/>
          <w:spacing w:val="0"/>
          <w:sz w:val="32"/>
          <w:szCs w:val="32"/>
          <w:shd w:val="clear" w:fill="FFFFFF"/>
          <w:lang w:eastAsia="zh-CN"/>
          <w14:textFill>
            <w14:solidFill>
              <w14:schemeClr w14:val="tx1"/>
            </w14:solidFill>
          </w14:textFill>
        </w:rPr>
        <w:t>潮州市</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湘桥区</w:t>
      </w:r>
      <w:r>
        <w:rPr>
          <w:rFonts w:hint="eastAsia" w:ascii="仿宋_GB2312" w:hAnsi="仿宋_GB2312" w:eastAsia="仿宋_GB2312" w:cs="仿宋_GB2312"/>
          <w:b/>
          <w:bCs/>
          <w:i w:val="0"/>
          <w:iCs w:val="0"/>
          <w:caps w:val="0"/>
          <w:color w:val="000000" w:themeColor="text1"/>
          <w:spacing w:val="0"/>
          <w:sz w:val="32"/>
          <w:szCs w:val="32"/>
          <w:shd w:val="clear" w:fill="FFFFFF"/>
          <w:lang w:eastAsia="zh-CN"/>
          <w14:textFill>
            <w14:solidFill>
              <w14:schemeClr w14:val="tx1"/>
            </w14:solidFill>
          </w14:textFill>
        </w:rPr>
        <w:t>教育局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74" w:beforeAutospacing="0" w:after="144" w:afterAutospacing="0" w:line="605" w:lineRule="atLeast"/>
        <w:ind w:left="0" w:right="0" w:firstLine="547"/>
        <w:jc w:val="both"/>
        <w:rPr>
          <w:rFonts w:hint="eastAsia" w:ascii="微软雅黑" w:hAnsi="微软雅黑" w:eastAsia="微软雅黑" w:cs="微软雅黑"/>
          <w:i w:val="0"/>
          <w:iCs w:val="0"/>
          <w:caps w:val="0"/>
          <w:color w:val="000000" w:themeColor="text1"/>
          <w:spacing w:val="0"/>
          <w:sz w:val="32"/>
          <w:szCs w:val="32"/>
          <w14:textFill>
            <w14:solidFill>
              <w14:schemeClr w14:val="tx1"/>
            </w14:solidFill>
          </w14:textFill>
        </w:rPr>
      </w:pPr>
      <w:r>
        <w:rPr>
          <w:rStyle w:val="5"/>
          <w:rFonts w:hint="eastAsia" w:ascii="黑体" w:hAnsi="黑体" w:eastAsia="黑体" w:cs="黑体"/>
          <w:i w:val="0"/>
          <w:iCs w:val="0"/>
          <w:caps w:val="0"/>
          <w:color w:val="000000" w:themeColor="text1"/>
          <w:spacing w:val="0"/>
          <w:sz w:val="32"/>
          <w:szCs w:val="32"/>
          <w:shd w:val="clear" w:fill="FFFFFF"/>
          <w:lang w:eastAsia="zh-CN"/>
          <w14:textFill>
            <w14:solidFill>
              <w14:schemeClr w14:val="tx1"/>
            </w14:solidFill>
          </w14:textFill>
        </w:rPr>
        <w:t>【公开时限】</w:t>
      </w:r>
      <w:r>
        <w:rPr>
          <w:rStyle w:val="5"/>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b/>
          <w:bCs/>
          <w:i w:val="0"/>
          <w:iCs w:val="0"/>
          <w:caps w:val="0"/>
          <w:color w:val="000000" w:themeColor="text1"/>
          <w:spacing w:val="0"/>
          <w:sz w:val="32"/>
          <w:szCs w:val="32"/>
          <w:shd w:val="clear" w:fill="FFFFFF"/>
          <w:lang w:eastAsia="zh-CN"/>
          <w14:textFill>
            <w14:solidFill>
              <w14:schemeClr w14:val="tx1"/>
            </w14:solidFill>
          </w14:textFill>
        </w:rPr>
        <w:t>政府信息形成或者变更之日起20个工作日内（法律法规对政府信息公开的期限另有规定的，从其规定）。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74" w:beforeAutospacing="0" w:after="144" w:afterAutospacing="0" w:line="605" w:lineRule="atLeast"/>
        <w:ind w:left="0" w:right="0" w:firstLine="0"/>
        <w:jc w:val="both"/>
        <w:rPr>
          <w:rFonts w:hint="eastAsia" w:ascii="仿宋_GB2312" w:hAnsi="仿宋_GB2312" w:eastAsia="仿宋_GB2312" w:cs="仿宋_GB2312"/>
          <w:b/>
          <w:bCs/>
          <w:i w:val="0"/>
          <w:iCs w:val="0"/>
          <w:caps w:val="0"/>
          <w:color w:val="000000" w:themeColor="text1"/>
          <w:spacing w:val="0"/>
          <w:sz w:val="32"/>
          <w:szCs w:val="32"/>
          <w:shd w:val="clear" w:fill="FFFFFF"/>
          <w:lang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32"/>
          <w:szCs w:val="32"/>
          <w:shd w:val="clear" w:fill="FFFFFF"/>
          <w:lang w:eastAsia="zh-CN"/>
          <w14:textFill>
            <w14:solidFill>
              <w14:schemeClr w14:val="tx1"/>
            </w14:solidFill>
          </w14:textFill>
        </w:rPr>
        <w:t>　　</w:t>
      </w:r>
      <w:r>
        <w:rPr>
          <w:rStyle w:val="5"/>
          <w:rFonts w:hint="eastAsia" w:ascii="黑体" w:hAnsi="黑体" w:eastAsia="黑体" w:cs="黑体"/>
          <w:i w:val="0"/>
          <w:iCs w:val="0"/>
          <w:caps w:val="0"/>
          <w:color w:val="000000" w:themeColor="text1"/>
          <w:spacing w:val="0"/>
          <w:sz w:val="32"/>
          <w:szCs w:val="32"/>
          <w:shd w:val="clear" w:fill="FFFFFF"/>
          <w:lang w:eastAsia="zh-CN"/>
          <w14:textFill>
            <w14:solidFill>
              <w14:schemeClr w14:val="tx1"/>
            </w14:solidFill>
          </w14:textFill>
        </w:rPr>
        <w:t>【公开方式】</w:t>
      </w:r>
      <w:r>
        <w:rPr>
          <w:rStyle w:val="5"/>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b/>
          <w:bCs/>
          <w:i w:val="0"/>
          <w:iCs w:val="0"/>
          <w:caps w:val="0"/>
          <w:color w:val="000000" w:themeColor="text1"/>
          <w:spacing w:val="0"/>
          <w:sz w:val="32"/>
          <w:szCs w:val="32"/>
          <w:shd w:val="clear" w:fill="FFFFFF"/>
          <w:lang w:eastAsia="zh-CN"/>
          <w14:textFill>
            <w14:solidFill>
              <w14:schemeClr w14:val="tx1"/>
            </w14:solidFill>
          </w14:textFill>
        </w:rPr>
        <w:t>潮州市</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湘桥区</w:t>
      </w:r>
      <w:r>
        <w:rPr>
          <w:rFonts w:hint="eastAsia" w:ascii="仿宋_GB2312" w:hAnsi="仿宋_GB2312" w:eastAsia="仿宋_GB2312" w:cs="仿宋_GB2312"/>
          <w:b/>
          <w:bCs/>
          <w:i w:val="0"/>
          <w:iCs w:val="0"/>
          <w:caps w:val="0"/>
          <w:color w:val="000000" w:themeColor="text1"/>
          <w:spacing w:val="0"/>
          <w:sz w:val="32"/>
          <w:szCs w:val="32"/>
          <w:shd w:val="clear" w:fill="FFFFFF"/>
          <w:lang w:eastAsia="zh-CN"/>
          <w14:textFill>
            <w14:solidFill>
              <w14:schemeClr w14:val="tx1"/>
            </w14:solidFill>
          </w14:textFill>
        </w:rPr>
        <w:t>人民政府网站－</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湘桥区</w:t>
      </w:r>
      <w:r>
        <w:rPr>
          <w:rFonts w:hint="eastAsia" w:ascii="仿宋_GB2312" w:hAnsi="仿宋_GB2312" w:eastAsia="仿宋_GB2312" w:cs="仿宋_GB2312"/>
          <w:b/>
          <w:bCs/>
          <w:i w:val="0"/>
          <w:iCs w:val="0"/>
          <w:caps w:val="0"/>
          <w:color w:val="000000" w:themeColor="text1"/>
          <w:spacing w:val="0"/>
          <w:sz w:val="32"/>
          <w:szCs w:val="32"/>
          <w:shd w:val="clear" w:fill="FFFFFF"/>
          <w:lang w:eastAsia="zh-CN"/>
          <w14:textFill>
            <w14:solidFill>
              <w14:schemeClr w14:val="tx1"/>
            </w14:solidFill>
          </w14:textFill>
        </w:rPr>
        <w:t>教育局子频道（http://www.xiangqiao.gov.cn/czxqjyj/gkmlpt/index）主动公开。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74" w:beforeAutospacing="0" w:after="144" w:afterAutospacing="0" w:line="605" w:lineRule="atLeast"/>
        <w:ind w:left="0" w:right="0" w:firstLine="547"/>
        <w:jc w:val="both"/>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pPr>
      <w:r>
        <w:rPr>
          <w:rStyle w:val="5"/>
          <w:rFonts w:hint="eastAsia" w:ascii="黑体" w:hAnsi="黑体" w:eastAsia="黑体" w:cs="黑体"/>
          <w:i w:val="0"/>
          <w:iCs w:val="0"/>
          <w:caps w:val="0"/>
          <w:color w:val="000000" w:themeColor="text1"/>
          <w:spacing w:val="0"/>
          <w:sz w:val="32"/>
          <w:szCs w:val="32"/>
          <w:shd w:val="clear" w:fill="FFFFFF"/>
          <w:lang w:eastAsia="zh-CN"/>
          <w14:textFill>
            <w14:solidFill>
              <w14:schemeClr w14:val="tx1"/>
            </w14:solidFill>
          </w14:textFill>
        </w:rPr>
        <w:t>【咨询监督渠道】</w:t>
      </w:r>
      <w:r>
        <w:rPr>
          <w:rStyle w:val="5"/>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b/>
          <w:bCs/>
          <w:i w:val="0"/>
          <w:iCs w:val="0"/>
          <w:caps w:val="0"/>
          <w:color w:val="000000" w:themeColor="text1"/>
          <w:spacing w:val="0"/>
          <w:sz w:val="32"/>
          <w:szCs w:val="32"/>
          <w:shd w:val="clear" w:fill="FFFFFF"/>
          <w:lang w:eastAsia="zh-CN"/>
          <w14:textFill>
            <w14:solidFill>
              <w14:schemeClr w14:val="tx1"/>
            </w14:solidFill>
          </w14:textFill>
        </w:rPr>
        <w:t>电话监督：0768-</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2259400</w:t>
      </w:r>
    </w:p>
    <w:tbl>
      <w:tblPr>
        <w:tblStyle w:val="3"/>
        <w:tblpPr w:leftFromText="180" w:rightFromText="180" w:vertAnchor="text" w:horzAnchor="page" w:tblpX="1546" w:tblpY="1051"/>
        <w:tblOverlap w:val="never"/>
        <w:tblW w:w="87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1"/>
        <w:gridCol w:w="1007"/>
        <w:gridCol w:w="1412"/>
        <w:gridCol w:w="4092"/>
        <w:gridCol w:w="15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政府信息公开类别及事项</w:t>
            </w:r>
          </w:p>
        </w:tc>
        <w:tc>
          <w:tcPr>
            <w:tcW w:w="40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公开内容</w:t>
            </w:r>
          </w:p>
        </w:tc>
        <w:tc>
          <w:tcPr>
            <w:tcW w:w="15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w:t>
            </w:r>
          </w:p>
        </w:tc>
        <w:tc>
          <w:tcPr>
            <w:tcW w:w="40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政府信息公开指南</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4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区教育局政府信息公开依据、受理机构、申请方式等</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人秘股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0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组织机构简介</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机构概况</w:t>
            </w:r>
          </w:p>
        </w:tc>
        <w:tc>
          <w:tcPr>
            <w:tcW w:w="4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机构主要职能</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人秘股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机构领导</w:t>
            </w:r>
          </w:p>
        </w:tc>
        <w:tc>
          <w:tcPr>
            <w:tcW w:w="4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领导姓名、职务等有关信息</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人秘股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内设机构</w:t>
            </w:r>
          </w:p>
        </w:tc>
        <w:tc>
          <w:tcPr>
            <w:tcW w:w="4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局内设机构信息</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人秘股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联系方式</w:t>
            </w:r>
          </w:p>
        </w:tc>
        <w:tc>
          <w:tcPr>
            <w:tcW w:w="4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联系电话及传真电话等</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人秘股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220" w:hanging="221" w:hangingChars="10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工作信息</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湘桥区教育动态</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各股室（中心）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政务信息公开</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区教育局发布的通知、公示、公告等文件</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各股室（中心）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政府信息公开年报</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4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区教育局政府信息公开年度报告</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人秘股</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74" w:beforeAutospacing="0" w:after="144" w:afterAutospacing="0" w:line="605" w:lineRule="atLeast"/>
        <w:ind w:left="0" w:right="0" w:firstLine="547"/>
        <w:jc w:val="center"/>
        <w:rPr>
          <w:color w:val="000000" w:themeColor="text1"/>
          <w14:textFill>
            <w14:solidFill>
              <w14:schemeClr w14:val="tx1"/>
            </w14:solidFill>
          </w14:textFill>
        </w:rPr>
      </w:pPr>
      <w:r>
        <w:rPr>
          <w:rStyle w:val="5"/>
          <w:rFonts w:hint="eastAsia" w:ascii="黑体" w:hAnsi="黑体" w:eastAsia="黑体" w:cs="黑体"/>
          <w:i w:val="0"/>
          <w:iCs w:val="0"/>
          <w:caps w:val="0"/>
          <w:color w:val="000000" w:themeColor="text1"/>
          <w:spacing w:val="0"/>
          <w:sz w:val="32"/>
          <w:szCs w:val="32"/>
          <w:shd w:val="clear" w:fill="FFFFFF"/>
          <w:lang w:eastAsia="zh-CN"/>
          <w14:textFill>
            <w14:solidFill>
              <w14:schemeClr w14:val="tx1"/>
            </w14:solidFill>
          </w14:textFill>
        </w:rPr>
        <w:t>主动公开基本目录</w:t>
      </w:r>
      <w:bookmarkStart w:id="1" w:name="_GoBack"/>
      <w:bookmarkEnd w:id="1"/>
      <w:bookmarkStart w:id="0" w:name="å¾ç 1"/>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AE0D4C"/>
    <w:rsid w:val="467B7351"/>
    <w:rsid w:val="49FF5DD6"/>
    <w:rsid w:val="515E26C0"/>
    <w:rsid w:val="55052304"/>
    <w:rsid w:val="5588675B"/>
    <w:rsid w:val="785371CA"/>
    <w:rsid w:val="7F986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2021-12-21T09:13:57Z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23CE6C6DD1654AB7A211A3062615C801</vt:lpwstr>
  </property>
</Properties>
</file>