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C1141">
      <w:pPr>
        <w:spacing w:line="360" w:lineRule="auto"/>
        <w:jc w:val="center"/>
        <w:rPr>
          <w:rFonts w:ascii="Times New Roman Regular" w:hAnsi="Times New Roman Regular" w:eastAsia="仿宋" w:cs="Times New Roman Regular"/>
          <w:b/>
          <w:bCs/>
          <w:color w:val="000000" w:themeColor="text1"/>
          <w:sz w:val="36"/>
          <w:szCs w:val="36"/>
          <w14:textFill>
            <w14:solidFill>
              <w14:schemeClr w14:val="tx1"/>
            </w14:solidFill>
          </w14:textFill>
        </w:rPr>
      </w:pPr>
    </w:p>
    <w:p w14:paraId="787EDDED">
      <w:pPr>
        <w:pStyle w:val="2"/>
      </w:pPr>
    </w:p>
    <w:p w14:paraId="3614BBD8">
      <w:pPr>
        <w:spacing w:line="360" w:lineRule="auto"/>
        <w:jc w:val="center"/>
        <w:rPr>
          <w:rFonts w:ascii="方正小标宋简体" w:hAnsi="Times New Roman Regular" w:eastAsia="方正小标宋简体" w:cs="Times New Roman Regular"/>
          <w:b/>
          <w:bCs/>
          <w:color w:val="000000" w:themeColor="text1"/>
          <w:sz w:val="64"/>
          <w:szCs w:val="64"/>
          <w14:textFill>
            <w14:solidFill>
              <w14:schemeClr w14:val="tx1"/>
            </w14:solidFill>
          </w14:textFill>
        </w:rPr>
      </w:pPr>
      <w:bookmarkStart w:id="0" w:name="OLE_LINK1"/>
      <w:bookmarkStart w:id="1" w:name="OLE_LINK2"/>
      <w:r>
        <w:rPr>
          <w:rFonts w:hint="eastAsia" w:ascii="方正小标宋简体" w:hAnsi="Times New Roman Regular" w:eastAsia="方正小标宋简体" w:cs="Times New Roman Regular"/>
          <w:b/>
          <w:bCs/>
          <w:color w:val="000000" w:themeColor="text1"/>
          <w:sz w:val="64"/>
          <w:szCs w:val="64"/>
          <w14:textFill>
            <w14:solidFill>
              <w14:schemeClr w14:val="tx1"/>
            </w14:solidFill>
          </w14:textFill>
        </w:rPr>
        <w:t>湘桥区农村污水治理TOT</w:t>
      </w:r>
    </w:p>
    <w:p w14:paraId="547712ED">
      <w:pPr>
        <w:spacing w:line="360" w:lineRule="auto"/>
        <w:jc w:val="center"/>
        <w:rPr>
          <w:rFonts w:ascii="方正小标宋简体" w:hAnsi="Times New Roman Regular" w:eastAsia="方正小标宋简体" w:cs="Times New Roman Regular"/>
          <w:b/>
          <w:bCs/>
          <w:color w:val="000000" w:themeColor="text1"/>
          <w:sz w:val="64"/>
          <w:szCs w:val="64"/>
          <w14:textFill>
            <w14:solidFill>
              <w14:schemeClr w14:val="tx1"/>
            </w14:solidFill>
          </w14:textFill>
        </w:rPr>
      </w:pPr>
      <w:bookmarkStart w:id="2" w:name="_Toc17149"/>
      <w:r>
        <w:rPr>
          <w:rFonts w:hint="eastAsia" w:ascii="方正小标宋简体" w:hAnsi="Times New Roman Regular" w:eastAsia="方正小标宋简体" w:cs="Times New Roman Regular"/>
          <w:b/>
          <w:bCs/>
          <w:color w:val="000000" w:themeColor="text1"/>
          <w:sz w:val="64"/>
          <w:szCs w:val="64"/>
          <w14:textFill>
            <w14:solidFill>
              <w14:schemeClr w14:val="tx1"/>
            </w14:solidFill>
          </w14:textFill>
        </w:rPr>
        <w:t>特许经营项目</w:t>
      </w:r>
      <w:bookmarkEnd w:id="2"/>
    </w:p>
    <w:bookmarkEnd w:id="0"/>
    <w:bookmarkEnd w:id="1"/>
    <w:p w14:paraId="771DF68B">
      <w:pPr>
        <w:spacing w:line="360" w:lineRule="auto"/>
        <w:jc w:val="center"/>
        <w:rPr>
          <w:rFonts w:ascii="方正小标宋简体" w:hAnsi="Times New Roman Regular" w:eastAsia="方正小标宋简体" w:cs="Times New Roman Regular"/>
          <w:b/>
          <w:bCs/>
          <w:color w:val="000000" w:themeColor="text1"/>
          <w:sz w:val="72"/>
          <w:szCs w:val="72"/>
          <w14:textFill>
            <w14:solidFill>
              <w14:schemeClr w14:val="tx1"/>
            </w14:solidFill>
          </w14:textFill>
        </w:rPr>
      </w:pPr>
    </w:p>
    <w:p w14:paraId="53883AA4">
      <w:pPr>
        <w:spacing w:line="360" w:lineRule="auto"/>
        <w:jc w:val="center"/>
        <w:rPr>
          <w:rFonts w:hint="eastAsia" w:ascii="方正小标宋简体" w:hAnsi="Times New Roman Regular" w:eastAsia="方正小标宋简体" w:cs="Times New Roman Regular"/>
          <w:b/>
          <w:bCs/>
          <w:color w:val="000000" w:themeColor="text1"/>
          <w:sz w:val="72"/>
          <w:szCs w:val="72"/>
          <w:lang w:eastAsia="zh-CN"/>
          <w14:textFill>
            <w14:solidFill>
              <w14:schemeClr w14:val="tx1"/>
            </w14:solidFill>
          </w14:textFill>
        </w:rPr>
      </w:pPr>
      <w:r>
        <w:rPr>
          <w:rFonts w:hint="eastAsia" w:ascii="方正小标宋简体" w:hAnsi="Times New Roman Regular" w:eastAsia="方正小标宋简体" w:cs="Times New Roman Regular"/>
          <w:b/>
          <w:bCs/>
          <w:color w:val="000000" w:themeColor="text1"/>
          <w:sz w:val="72"/>
          <w:szCs w:val="72"/>
          <w14:textFill>
            <w14:solidFill>
              <w14:schemeClr w14:val="tx1"/>
            </w14:solidFill>
          </w14:textFill>
        </w:rPr>
        <w:t>实施方案</w:t>
      </w:r>
    </w:p>
    <w:p w14:paraId="2C3E8111">
      <w:pPr>
        <w:spacing w:line="360" w:lineRule="auto"/>
        <w:jc w:val="center"/>
        <w:rPr>
          <w:rFonts w:ascii="Times New Roman Regular" w:hAnsi="Times New Roman Regular" w:eastAsia="仿宋" w:cs="Times New Roman Regular"/>
          <w:b/>
          <w:bCs/>
          <w:color w:val="000000" w:themeColor="text1"/>
          <w:sz w:val="32"/>
          <w:szCs w:val="32"/>
          <w14:textFill>
            <w14:solidFill>
              <w14:schemeClr w14:val="tx1"/>
            </w14:solidFill>
          </w14:textFill>
        </w:rPr>
      </w:pPr>
    </w:p>
    <w:p w14:paraId="74EA3AB2">
      <w:pPr>
        <w:spacing w:line="360" w:lineRule="auto"/>
        <w:jc w:val="center"/>
        <w:rPr>
          <w:rFonts w:ascii="Times New Roman Regular" w:hAnsi="Times New Roman Regular" w:eastAsia="仿宋" w:cs="Times New Roman Regular"/>
          <w:b/>
          <w:bCs/>
          <w:color w:val="000000" w:themeColor="text1"/>
          <w:sz w:val="32"/>
          <w:szCs w:val="32"/>
          <w14:textFill>
            <w14:solidFill>
              <w14:schemeClr w14:val="tx1"/>
            </w14:solidFill>
          </w14:textFill>
        </w:rPr>
      </w:pPr>
    </w:p>
    <w:p w14:paraId="58DAB07B">
      <w:pPr>
        <w:spacing w:line="360" w:lineRule="auto"/>
        <w:jc w:val="center"/>
        <w:rPr>
          <w:rFonts w:ascii="Times New Roman Regular" w:hAnsi="Times New Roman Regular" w:eastAsia="仿宋" w:cs="Times New Roman Regular"/>
          <w:b/>
          <w:bCs/>
          <w:color w:val="000000" w:themeColor="text1"/>
          <w:sz w:val="32"/>
          <w:szCs w:val="32"/>
          <w14:textFill>
            <w14:solidFill>
              <w14:schemeClr w14:val="tx1"/>
            </w14:solidFill>
          </w14:textFill>
        </w:rPr>
      </w:pPr>
    </w:p>
    <w:p w14:paraId="58B13539">
      <w:pPr>
        <w:spacing w:line="360" w:lineRule="auto"/>
        <w:jc w:val="center"/>
        <w:rPr>
          <w:rFonts w:ascii="Times New Roman Regular" w:hAnsi="Times New Roman Regular" w:eastAsia="仿宋" w:cs="Times New Roman Regular"/>
          <w:b/>
          <w:bCs/>
          <w:color w:val="000000" w:themeColor="text1"/>
          <w:sz w:val="32"/>
          <w:szCs w:val="32"/>
          <w14:textFill>
            <w14:solidFill>
              <w14:schemeClr w14:val="tx1"/>
            </w14:solidFill>
          </w14:textFill>
        </w:rPr>
      </w:pPr>
    </w:p>
    <w:p w14:paraId="2594A8E6">
      <w:pPr>
        <w:pStyle w:val="2"/>
      </w:pPr>
    </w:p>
    <w:p w14:paraId="16DC59DD">
      <w:pPr>
        <w:spacing w:line="360" w:lineRule="auto"/>
        <w:jc w:val="center"/>
        <w:rPr>
          <w:rFonts w:ascii="Times New Roman Regular" w:hAnsi="Times New Roman Regular" w:eastAsia="仿宋" w:cs="Times New Roman Regular"/>
          <w:b/>
          <w:bCs/>
          <w:color w:val="000000" w:themeColor="text1"/>
          <w:sz w:val="32"/>
          <w:szCs w:val="32"/>
          <w14:textFill>
            <w14:solidFill>
              <w14:schemeClr w14:val="tx1"/>
            </w14:solidFill>
          </w14:textFill>
        </w:rPr>
      </w:pPr>
    </w:p>
    <w:p w14:paraId="1E70312E">
      <w:pPr>
        <w:keepNext/>
        <w:spacing w:line="360" w:lineRule="auto"/>
        <w:ind w:firstLine="1600" w:firstLineChars="500"/>
        <w:jc w:val="both"/>
        <w:rPr>
          <w:rFonts w:ascii="方正小标宋简体" w:hAnsi="Times New Roman Regular" w:eastAsia="方正小标宋简体" w:cs="Times New Roman Regular"/>
          <w:color w:val="000000" w:themeColor="text1"/>
          <w:sz w:val="32"/>
          <w:szCs w:val="32"/>
          <w14:textFill>
            <w14:solidFill>
              <w14:schemeClr w14:val="tx1"/>
            </w14:solidFill>
          </w14:textFill>
        </w:rPr>
      </w:pPr>
      <w:bookmarkStart w:id="329" w:name="_GoBack"/>
      <w:bookmarkEnd w:id="329"/>
      <w:r>
        <w:rPr>
          <w:rFonts w:hint="eastAsia" w:ascii="方正小标宋简体" w:hAnsi="Times New Roman Regular" w:eastAsia="方正小标宋简体" w:cs="Times New Roman Regular"/>
          <w:color w:val="000000" w:themeColor="text1"/>
          <w:sz w:val="32"/>
          <w:szCs w:val="32"/>
          <w14:textFill>
            <w14:solidFill>
              <w14:schemeClr w14:val="tx1"/>
            </w14:solidFill>
          </w14:textFill>
        </w:rPr>
        <w:t>实施机构：</w:t>
      </w:r>
    </w:p>
    <w:p w14:paraId="511B6689">
      <w:pPr>
        <w:keepNext/>
        <w:spacing w:line="360" w:lineRule="auto"/>
        <w:ind w:firstLine="1600" w:firstLineChars="500"/>
        <w:jc w:val="both"/>
        <w:rPr>
          <w:rFonts w:hint="eastAsia" w:ascii="方正小标宋简体" w:hAnsi="Times New Roman Regular" w:eastAsia="方正小标宋简体" w:cs="Times New Roman Regular"/>
          <w:color w:val="000000" w:themeColor="text1"/>
          <w:sz w:val="32"/>
          <w:szCs w:val="32"/>
          <w:lang w:val="en-US" w:eastAsia="zh-CN"/>
          <w14:textFill>
            <w14:solidFill>
              <w14:schemeClr w14:val="tx1"/>
            </w14:solidFill>
          </w14:textFill>
        </w:rPr>
      </w:pPr>
      <w:r>
        <w:rPr>
          <w:rFonts w:hint="eastAsia" w:ascii="方正小标宋简体" w:hAnsi="Times New Roman Regular" w:eastAsia="方正小标宋简体" w:cs="Times New Roman Regular"/>
          <w:color w:val="000000" w:themeColor="text1"/>
          <w:sz w:val="32"/>
          <w:szCs w:val="32"/>
          <w14:textFill>
            <w14:solidFill>
              <w14:schemeClr w14:val="tx1"/>
            </w14:solidFill>
          </w14:textFill>
        </w:rPr>
        <w:t>咨询机构：</w:t>
      </w:r>
      <w:r>
        <w:rPr>
          <w:rFonts w:hint="eastAsia" w:ascii="方正小标宋简体" w:hAnsi="Times New Roman Regular" w:eastAsia="方正小标宋简体" w:cs="Times New Roman Regular"/>
          <w:color w:val="000000" w:themeColor="text1"/>
          <w:sz w:val="32"/>
          <w:szCs w:val="32"/>
          <w:lang w:val="en-US" w:eastAsia="zh-CN"/>
          <w14:textFill>
            <w14:solidFill>
              <w14:schemeClr w14:val="tx1"/>
            </w14:solidFill>
          </w14:textFill>
        </w:rPr>
        <w:t xml:space="preserve"> </w:t>
      </w:r>
    </w:p>
    <w:p w14:paraId="6DCEE197">
      <w:pPr>
        <w:spacing w:line="360" w:lineRule="auto"/>
        <w:jc w:val="center"/>
        <w:rPr>
          <w:rFonts w:ascii="方正小标宋简体" w:hAnsi="Times New Roman Regular" w:eastAsia="方正小标宋简体" w:cs="Times New Roman Regular"/>
          <w:color w:val="000000" w:themeColor="text1"/>
          <w:sz w:val="32"/>
          <w:szCs w:val="32"/>
          <w14:textFill>
            <w14:solidFill>
              <w14:schemeClr w14:val="tx1"/>
            </w14:solidFill>
          </w14:textFill>
        </w:rPr>
      </w:pPr>
    </w:p>
    <w:p w14:paraId="34B15930">
      <w:pPr>
        <w:jc w:val="center"/>
        <w:rPr>
          <w:rFonts w:ascii="方正小标宋简体" w:hAnsi="Times New Roman Regular" w:eastAsia="方正小标宋简体" w:cs="Times New Roman Regular"/>
          <w:color w:val="000000" w:themeColor="text1"/>
          <w:sz w:val="32"/>
          <w:szCs w:val="32"/>
          <w14:textFill>
            <w14:solidFill>
              <w14:schemeClr w14:val="tx1"/>
            </w14:solidFill>
          </w14:textFill>
        </w:rPr>
      </w:pPr>
      <w:r>
        <w:rPr>
          <w:rFonts w:hint="eastAsia" w:ascii="方正小标宋简体" w:hAnsi="Times New Roman Regular" w:eastAsia="方正小标宋简体" w:cs="Times New Roman Regular"/>
          <w:color w:val="000000" w:themeColor="text1"/>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〇</w:t>
      </w:r>
      <w:r>
        <w:rPr>
          <w:rFonts w:hint="eastAsia" w:ascii="方正小标宋简体" w:hAnsi="Times New Roman Regular" w:eastAsia="方正小标宋简体" w:cs="Times New Roman Regular"/>
          <w:color w:val="000000" w:themeColor="text1"/>
          <w:sz w:val="32"/>
          <w:szCs w:val="32"/>
          <w14:textFill>
            <w14:solidFill>
              <w14:schemeClr w14:val="tx1"/>
            </w14:solidFill>
          </w14:textFill>
        </w:rPr>
        <w:t>二五年二月</w:t>
      </w:r>
    </w:p>
    <w:p w14:paraId="716BE4BC">
      <w:pPr>
        <w:jc w:val="center"/>
        <w:rPr>
          <w:rFonts w:ascii="Times New Roman Regular" w:hAnsi="Times New Roman Regular" w:eastAsia="仿宋" w:cs="Times New Roman Regular"/>
          <w:b/>
          <w:bCs/>
          <w:color w:val="000000" w:themeColor="text1"/>
          <w:sz w:val="32"/>
          <w:szCs w:val="32"/>
          <w14:textFill>
            <w14:solidFill>
              <w14:schemeClr w14:val="tx1"/>
            </w14:solidFill>
          </w14:textFill>
        </w:rPr>
      </w:pPr>
      <w:r>
        <w:rPr>
          <w:rFonts w:ascii="Times New Roman Regular" w:hAnsi="Times New Roman Regular" w:eastAsia="仿宋" w:cs="Times New Roman Regular"/>
          <w:b/>
          <w:bCs/>
          <w:color w:val="000000" w:themeColor="text1"/>
          <w:sz w:val="32"/>
          <w:szCs w:val="32"/>
          <w14:textFill>
            <w14:solidFill>
              <w14:schemeClr w14:val="tx1"/>
            </w14:solidFill>
          </w14:textFill>
        </w:rPr>
        <w:br w:type="page"/>
      </w:r>
    </w:p>
    <w:p w14:paraId="6D88BC8C">
      <w:pPr>
        <w:jc w:val="center"/>
        <w:rPr>
          <w:rFonts w:ascii="Times New Roman Regular" w:hAnsi="Times New Roman Regular" w:eastAsia="仿宋" w:cs="Times New Roman Regular"/>
          <w:b/>
          <w:bCs/>
          <w:color w:val="000000" w:themeColor="text1"/>
          <w:sz w:val="32"/>
          <w:szCs w:val="32"/>
          <w14:textFill>
            <w14:solidFill>
              <w14:schemeClr w14:val="tx1"/>
            </w14:solidFill>
          </w14:textFill>
        </w:rPr>
      </w:pPr>
    </w:p>
    <w:sdt>
      <w:sdtPr>
        <w:rPr>
          <w:rFonts w:ascii="Times New Roman Regular" w:hAnsi="Times New Roman Regular" w:eastAsia="宋体" w:cs="Times New Roman Regular"/>
          <w:b/>
          <w:bCs/>
          <w:color w:val="000000" w:themeColor="text1"/>
          <w:sz w:val="24"/>
          <w:szCs w:val="32"/>
          <w14:textFill>
            <w14:solidFill>
              <w14:schemeClr w14:val="tx1"/>
            </w14:solidFill>
          </w14:textFill>
        </w:rPr>
        <w:id w:val="147481706"/>
        <w15:color w:val="DBDBDB"/>
        <w:docPartObj>
          <w:docPartGallery w:val="Table of Contents"/>
          <w:docPartUnique/>
        </w:docPartObj>
      </w:sdtPr>
      <w:sdtEndPr>
        <w:rPr>
          <w:rFonts w:ascii="Times New Roman Regular" w:hAnsi="Times New Roman Regular" w:eastAsia="宋体" w:cs="Times New Roman Regular"/>
          <w:b/>
          <w:bCs/>
          <w:color w:val="000000" w:themeColor="text1"/>
          <w:sz w:val="21"/>
          <w:szCs w:val="24"/>
          <w14:textFill>
            <w14:solidFill>
              <w14:schemeClr w14:val="tx1"/>
            </w14:solidFill>
          </w14:textFill>
        </w:rPr>
      </w:sdtEndPr>
      <w:sdtContent>
        <w:p w14:paraId="1FDE5680">
          <w:pPr>
            <w:jc w:val="center"/>
            <w:rPr>
              <w:rFonts w:ascii="黑体" w:hAnsi="黑体" w:eastAsia="黑体" w:cs="Times New Roman Regular"/>
              <w:b/>
              <w:bCs/>
              <w:color w:val="000000" w:themeColor="text1"/>
              <w:sz w:val="40"/>
              <w:szCs w:val="48"/>
              <w14:textFill>
                <w14:solidFill>
                  <w14:schemeClr w14:val="tx1"/>
                </w14:solidFill>
              </w14:textFill>
            </w:rPr>
          </w:pPr>
          <w:r>
            <w:rPr>
              <w:rFonts w:ascii="黑体" w:hAnsi="黑体" w:eastAsia="黑体" w:cs="Times New Roman Regular"/>
              <w:b/>
              <w:bCs/>
              <w:color w:val="000000" w:themeColor="text1"/>
              <w:sz w:val="40"/>
              <w:szCs w:val="48"/>
              <w14:textFill>
                <w14:solidFill>
                  <w14:schemeClr w14:val="tx1"/>
                </w14:solidFill>
              </w14:textFill>
            </w:rPr>
            <w:t>目</w:t>
          </w:r>
          <w:r>
            <w:rPr>
              <w:rFonts w:hint="eastAsia" w:ascii="黑体" w:hAnsi="黑体" w:eastAsia="黑体" w:cs="Times New Roman Regular"/>
              <w:b/>
              <w:bCs/>
              <w:color w:val="000000" w:themeColor="text1"/>
              <w:sz w:val="40"/>
              <w:szCs w:val="48"/>
              <w14:textFill>
                <w14:solidFill>
                  <w14:schemeClr w14:val="tx1"/>
                </w14:solidFill>
              </w14:textFill>
            </w:rPr>
            <w:t xml:space="preserve"> </w:t>
          </w:r>
          <w:r>
            <w:rPr>
              <w:rFonts w:ascii="黑体" w:hAnsi="黑体" w:eastAsia="黑体" w:cs="Times New Roman Regular"/>
              <w:b/>
              <w:bCs/>
              <w:color w:val="000000" w:themeColor="text1"/>
              <w:sz w:val="40"/>
              <w:szCs w:val="48"/>
              <w14:textFill>
                <w14:solidFill>
                  <w14:schemeClr w14:val="tx1"/>
                </w14:solidFill>
              </w14:textFill>
            </w:rPr>
            <w:t xml:space="preserve"> 录</w:t>
          </w:r>
        </w:p>
        <w:p w14:paraId="37D15B99">
          <w:pPr>
            <w:pStyle w:val="14"/>
            <w:tabs>
              <w:tab w:val="right" w:leader="dot" w:pos="9198"/>
            </w:tabs>
            <w:rPr>
              <w:rFonts w:ascii="仿宋_GB2312" w:eastAsia="仿宋_GB2312"/>
              <w:sz w:val="28"/>
              <w:szCs w:val="28"/>
            </w:rPr>
          </w:pPr>
          <w:r>
            <w:rPr>
              <w:rFonts w:hint="eastAsia" w:ascii="仿宋_GB2312" w:hAnsi="Times New Roman Regular" w:eastAsia="仿宋_GB2312" w:cs="Times New Roman Regular"/>
              <w:color w:val="000000" w:themeColor="text1"/>
              <w:sz w:val="28"/>
              <w:szCs w:val="28"/>
              <w14:textFill>
                <w14:solidFill>
                  <w14:schemeClr w14:val="tx1"/>
                </w14:solidFill>
              </w14:textFill>
            </w:rPr>
            <w:fldChar w:fldCharType="begin"/>
          </w:r>
          <w:r>
            <w:rPr>
              <w:rFonts w:hint="eastAsia" w:ascii="仿宋_GB2312" w:hAnsi="Times New Roman Regular" w:eastAsia="仿宋_GB2312" w:cs="Times New Roman Regular"/>
              <w:color w:val="000000" w:themeColor="text1"/>
              <w:sz w:val="28"/>
              <w:szCs w:val="28"/>
              <w14:textFill>
                <w14:solidFill>
                  <w14:schemeClr w14:val="tx1"/>
                </w14:solidFill>
              </w14:textFill>
            </w:rPr>
            <w:instrText xml:space="preserve">TOC \o "1-2" \h \u </w:instrText>
          </w:r>
          <w:r>
            <w:rPr>
              <w:rFonts w:hint="eastAsia" w:ascii="仿宋_GB2312" w:hAnsi="Times New Roman Regular" w:eastAsia="仿宋_GB2312" w:cs="Times New Roman Regular"/>
              <w:color w:val="000000" w:themeColor="text1"/>
              <w:sz w:val="28"/>
              <w:szCs w:val="28"/>
              <w14:textFill>
                <w14:solidFill>
                  <w14:schemeClr w14:val="tx1"/>
                </w14:solidFill>
              </w14:textFill>
            </w:rPr>
            <w:fldChar w:fldCharType="separate"/>
          </w:r>
          <w:r>
            <w:fldChar w:fldCharType="begin"/>
          </w:r>
          <w:r>
            <w:instrText xml:space="preserve"> HYPERLINK \l "_Toc188530542" </w:instrText>
          </w:r>
          <w:r>
            <w:fldChar w:fldCharType="separate"/>
          </w:r>
          <w:r>
            <w:rPr>
              <w:rStyle w:val="22"/>
              <w:rFonts w:hint="eastAsia" w:ascii="仿宋_GB2312" w:eastAsia="仿宋_GB2312"/>
              <w:sz w:val="28"/>
              <w:szCs w:val="28"/>
            </w:rPr>
            <w:t>一、概 述</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_Toc188530542 \h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5B3CA21">
          <w:pPr>
            <w:pStyle w:val="16"/>
            <w:tabs>
              <w:tab w:val="right" w:leader="dot" w:pos="9198"/>
            </w:tabs>
            <w:rPr>
              <w:rFonts w:ascii="仿宋_GB2312" w:eastAsia="仿宋_GB2312"/>
              <w:sz w:val="28"/>
              <w:szCs w:val="28"/>
            </w:rPr>
          </w:pPr>
          <w:r>
            <w:fldChar w:fldCharType="begin"/>
          </w:r>
          <w:r>
            <w:instrText xml:space="preserve"> HYPERLINK \l "_Toc188530543" </w:instrText>
          </w:r>
          <w:r>
            <w:fldChar w:fldCharType="separate"/>
          </w:r>
          <w:r>
            <w:rPr>
              <w:rStyle w:val="22"/>
              <w:rFonts w:hint="eastAsia" w:ascii="仿宋_GB2312" w:eastAsia="仿宋_GB2312"/>
              <w:sz w:val="28"/>
              <w:szCs w:val="28"/>
            </w:rPr>
            <w:t>（一）项目概况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_Toc188530543 \h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D5E541E">
          <w:pPr>
            <w:pStyle w:val="16"/>
            <w:tabs>
              <w:tab w:val="right" w:leader="dot" w:pos="9198"/>
            </w:tabs>
            <w:rPr>
              <w:rFonts w:ascii="仿宋_GB2312" w:eastAsia="仿宋_GB2312"/>
              <w:sz w:val="28"/>
              <w:szCs w:val="28"/>
            </w:rPr>
          </w:pPr>
          <w:r>
            <w:fldChar w:fldCharType="begin"/>
          </w:r>
          <w:r>
            <w:instrText xml:space="preserve"> HYPERLINK \l "_Toc188530544" </w:instrText>
          </w:r>
          <w:r>
            <w:fldChar w:fldCharType="separate"/>
          </w:r>
          <w:r>
            <w:rPr>
              <w:rStyle w:val="22"/>
              <w:rFonts w:hint="eastAsia" w:ascii="仿宋_GB2312" w:eastAsia="仿宋_GB2312"/>
              <w:sz w:val="28"/>
              <w:szCs w:val="28"/>
            </w:rPr>
            <w:t>（二）项目实施机构</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_Toc188530544 \h </w:instrText>
          </w:r>
          <w:r>
            <w:rPr>
              <w:rFonts w:hint="eastAsia" w:ascii="仿宋_GB2312" w:eastAsia="仿宋_GB2312"/>
              <w:sz w:val="28"/>
              <w:szCs w:val="28"/>
            </w:rPr>
            <w:fldChar w:fldCharType="separate"/>
          </w:r>
          <w:r>
            <w:rPr>
              <w:rFonts w:hint="eastAsia" w:ascii="仿宋_GB2312" w:eastAsia="仿宋_GB2312"/>
              <w:sz w:val="28"/>
              <w:szCs w:val="28"/>
            </w:rPr>
            <w:t>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6CDCDC0">
          <w:pPr>
            <w:pStyle w:val="16"/>
            <w:tabs>
              <w:tab w:val="right" w:leader="dot" w:pos="9198"/>
            </w:tabs>
            <w:rPr>
              <w:rFonts w:ascii="仿宋_GB2312" w:eastAsia="仿宋_GB2312"/>
              <w:sz w:val="28"/>
              <w:szCs w:val="28"/>
            </w:rPr>
          </w:pPr>
          <w:r>
            <w:fldChar w:fldCharType="begin"/>
          </w:r>
          <w:r>
            <w:instrText xml:space="preserve"> HYPERLINK \l "_Toc188530545" </w:instrText>
          </w:r>
          <w:r>
            <w:fldChar w:fldCharType="separate"/>
          </w:r>
          <w:r>
            <w:rPr>
              <w:rStyle w:val="22"/>
              <w:rFonts w:hint="eastAsia" w:ascii="仿宋_GB2312" w:eastAsia="仿宋_GB2312"/>
              <w:sz w:val="28"/>
              <w:szCs w:val="28"/>
            </w:rPr>
            <w:t>（三）特许经营主要内容</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_Toc188530545 \h </w:instrText>
          </w:r>
          <w:r>
            <w:rPr>
              <w:rFonts w:hint="eastAsia" w:ascii="仿宋_GB2312" w:eastAsia="仿宋_GB2312"/>
              <w:sz w:val="28"/>
              <w:szCs w:val="28"/>
            </w:rPr>
            <w:fldChar w:fldCharType="separate"/>
          </w:r>
          <w:r>
            <w:rPr>
              <w:rFonts w:hint="eastAsia"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05B2A32">
          <w:pPr>
            <w:pStyle w:val="14"/>
            <w:tabs>
              <w:tab w:val="right" w:leader="dot" w:pos="9198"/>
            </w:tabs>
            <w:rPr>
              <w:rFonts w:ascii="仿宋_GB2312" w:eastAsia="仿宋_GB2312"/>
              <w:sz w:val="28"/>
              <w:szCs w:val="28"/>
            </w:rPr>
          </w:pPr>
          <w:r>
            <w:fldChar w:fldCharType="begin"/>
          </w:r>
          <w:r>
            <w:instrText xml:space="preserve"> HYPERLINK \l "_Toc188530546" </w:instrText>
          </w:r>
          <w:r>
            <w:fldChar w:fldCharType="separate"/>
          </w:r>
          <w:r>
            <w:rPr>
              <w:rStyle w:val="22"/>
              <w:rFonts w:hint="eastAsia" w:ascii="仿宋_GB2312" w:eastAsia="仿宋_GB2312"/>
              <w:sz w:val="28"/>
              <w:szCs w:val="28"/>
            </w:rPr>
            <w:t>二、项目可行性分析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_Toc188530546 \h </w:instrText>
          </w:r>
          <w:r>
            <w:rPr>
              <w:rFonts w:hint="eastAsia" w:ascii="仿宋_GB2312" w:eastAsia="仿宋_GB2312"/>
              <w:sz w:val="28"/>
              <w:szCs w:val="28"/>
            </w:rPr>
            <w:fldChar w:fldCharType="separate"/>
          </w:r>
          <w:r>
            <w:rPr>
              <w:rFonts w:hint="eastAsia" w:ascii="仿宋_GB2312" w:eastAsia="仿宋_GB2312"/>
              <w:sz w:val="28"/>
              <w:szCs w:val="28"/>
            </w:rPr>
            <w:t>10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46EAC49">
          <w:pPr>
            <w:pStyle w:val="16"/>
            <w:tabs>
              <w:tab w:val="right" w:leader="dot" w:pos="9198"/>
            </w:tabs>
            <w:rPr>
              <w:rFonts w:ascii="仿宋_GB2312" w:eastAsia="仿宋_GB2312"/>
              <w:sz w:val="28"/>
              <w:szCs w:val="28"/>
            </w:rPr>
          </w:pPr>
          <w:r>
            <w:fldChar w:fldCharType="begin"/>
          </w:r>
          <w:r>
            <w:instrText xml:space="preserve"> HYPERLINK \l "_Toc188530547" </w:instrText>
          </w:r>
          <w:r>
            <w:fldChar w:fldCharType="separate"/>
          </w:r>
          <w:r>
            <w:rPr>
              <w:rStyle w:val="22"/>
              <w:rFonts w:hint="eastAsia" w:ascii="仿宋_GB2312" w:eastAsia="仿宋_GB2312"/>
              <w:sz w:val="28"/>
              <w:szCs w:val="28"/>
            </w:rPr>
            <w:t>（一）实施必要性</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_Toc188530547 \h </w:instrText>
          </w:r>
          <w:r>
            <w:rPr>
              <w:rFonts w:hint="eastAsia" w:ascii="仿宋_GB2312" w:eastAsia="仿宋_GB2312"/>
              <w:sz w:val="28"/>
              <w:szCs w:val="28"/>
            </w:rPr>
            <w:fldChar w:fldCharType="separate"/>
          </w:r>
          <w:r>
            <w:rPr>
              <w:rFonts w:hint="eastAsia" w:ascii="仿宋_GB2312" w:eastAsia="仿宋_GB2312"/>
              <w:sz w:val="28"/>
              <w:szCs w:val="28"/>
            </w:rPr>
            <w:t>10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4D44A7B">
          <w:pPr>
            <w:pStyle w:val="16"/>
            <w:tabs>
              <w:tab w:val="right" w:leader="dot" w:pos="9198"/>
            </w:tabs>
            <w:rPr>
              <w:rFonts w:ascii="仿宋_GB2312" w:eastAsia="仿宋_GB2312"/>
              <w:sz w:val="28"/>
              <w:szCs w:val="28"/>
            </w:rPr>
          </w:pPr>
          <w:r>
            <w:fldChar w:fldCharType="begin"/>
          </w:r>
          <w:r>
            <w:instrText xml:space="preserve"> HYPERLINK \l "_Toc188530548" </w:instrText>
          </w:r>
          <w:r>
            <w:fldChar w:fldCharType="separate"/>
          </w:r>
          <w:r>
            <w:rPr>
              <w:rStyle w:val="22"/>
              <w:rFonts w:hint="eastAsia" w:ascii="仿宋_GB2312" w:eastAsia="仿宋_GB2312"/>
              <w:sz w:val="28"/>
              <w:szCs w:val="28"/>
            </w:rPr>
            <w:t>（二）运营服务内容</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_Toc188530548 \h </w:instrText>
          </w:r>
          <w:r>
            <w:rPr>
              <w:rFonts w:hint="eastAsia" w:ascii="仿宋_GB2312" w:eastAsia="仿宋_GB2312"/>
              <w:sz w:val="28"/>
              <w:szCs w:val="28"/>
            </w:rPr>
            <w:fldChar w:fldCharType="separate"/>
          </w:r>
          <w:r>
            <w:rPr>
              <w:rFonts w:hint="eastAsia"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F3A21FB">
          <w:pPr>
            <w:pStyle w:val="16"/>
            <w:tabs>
              <w:tab w:val="right" w:leader="dot" w:pos="9198"/>
            </w:tabs>
            <w:rPr>
              <w:rFonts w:ascii="仿宋_GB2312" w:eastAsia="仿宋_GB2312"/>
              <w:sz w:val="28"/>
              <w:szCs w:val="28"/>
            </w:rPr>
          </w:pPr>
          <w:r>
            <w:fldChar w:fldCharType="begin"/>
          </w:r>
          <w:r>
            <w:instrText xml:space="preserve"> HYPERLINK \l "_Toc188530549" </w:instrText>
          </w:r>
          <w:r>
            <w:fldChar w:fldCharType="separate"/>
          </w:r>
          <w:r>
            <w:rPr>
              <w:rStyle w:val="22"/>
              <w:rFonts w:hint="eastAsia" w:ascii="仿宋_GB2312" w:eastAsia="仿宋_GB2312"/>
              <w:sz w:val="28"/>
              <w:szCs w:val="28"/>
            </w:rPr>
            <w:t>（三）运营服务标准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_Toc188530549 \h </w:instrText>
          </w:r>
          <w:r>
            <w:rPr>
              <w:rFonts w:hint="eastAsia" w:ascii="仿宋_GB2312" w:eastAsia="仿宋_GB2312"/>
              <w:sz w:val="28"/>
              <w:szCs w:val="28"/>
            </w:rPr>
            <w:fldChar w:fldCharType="separate"/>
          </w:r>
          <w:r>
            <w:rPr>
              <w:rFonts w:hint="eastAsia" w:ascii="仿宋_GB2312" w:eastAsia="仿宋_GB2312"/>
              <w:sz w:val="28"/>
              <w:szCs w:val="28"/>
            </w:rPr>
            <w:t>14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4367719">
          <w:pPr>
            <w:pStyle w:val="16"/>
            <w:tabs>
              <w:tab w:val="right" w:leader="dot" w:pos="9198"/>
            </w:tabs>
            <w:rPr>
              <w:rFonts w:ascii="仿宋_GB2312" w:eastAsia="仿宋_GB2312"/>
              <w:sz w:val="28"/>
              <w:szCs w:val="28"/>
            </w:rPr>
          </w:pPr>
          <w:r>
            <w:fldChar w:fldCharType="begin"/>
          </w:r>
          <w:r>
            <w:instrText xml:space="preserve"> HYPERLINK \l "_Toc188530550" </w:instrText>
          </w:r>
          <w:r>
            <w:fldChar w:fldCharType="separate"/>
          </w:r>
          <w:r>
            <w:rPr>
              <w:rStyle w:val="22"/>
              <w:rFonts w:hint="eastAsia" w:ascii="仿宋_GB2312" w:eastAsia="仿宋_GB2312"/>
              <w:sz w:val="28"/>
              <w:szCs w:val="28"/>
            </w:rPr>
            <w:t>（四）主要风险识别</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_Toc188530550 \h </w:instrText>
          </w:r>
          <w:r>
            <w:rPr>
              <w:rFonts w:hint="eastAsia" w:ascii="仿宋_GB2312" w:eastAsia="仿宋_GB2312"/>
              <w:sz w:val="28"/>
              <w:szCs w:val="28"/>
            </w:rPr>
            <w:fldChar w:fldCharType="separate"/>
          </w:r>
          <w:r>
            <w:rPr>
              <w:rFonts w:hint="eastAsia" w:ascii="仿宋_GB2312" w:eastAsia="仿宋_GB2312"/>
              <w:sz w:val="28"/>
              <w:szCs w:val="28"/>
            </w:rPr>
            <w:t>15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883B68D">
          <w:pPr>
            <w:pStyle w:val="14"/>
            <w:tabs>
              <w:tab w:val="right" w:leader="dot" w:pos="9198"/>
            </w:tabs>
            <w:rPr>
              <w:rFonts w:ascii="仿宋_GB2312" w:eastAsia="仿宋_GB2312"/>
              <w:sz w:val="28"/>
              <w:szCs w:val="28"/>
            </w:rPr>
          </w:pPr>
          <w:r>
            <w:fldChar w:fldCharType="begin"/>
          </w:r>
          <w:r>
            <w:instrText xml:space="preserve"> HYPERLINK \l "_Toc188530551" </w:instrText>
          </w:r>
          <w:r>
            <w:fldChar w:fldCharType="separate"/>
          </w:r>
          <w:r>
            <w:rPr>
              <w:rStyle w:val="22"/>
              <w:rFonts w:hint="eastAsia" w:ascii="仿宋_GB2312" w:eastAsia="仿宋_GB2312"/>
              <w:sz w:val="28"/>
              <w:szCs w:val="28"/>
            </w:rPr>
            <w:t>三、 特许经营模式可行性论证</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_Toc188530551 \h </w:instrText>
          </w:r>
          <w:r>
            <w:rPr>
              <w:rFonts w:hint="eastAsia" w:ascii="仿宋_GB2312" w:eastAsia="仿宋_GB2312"/>
              <w:sz w:val="28"/>
              <w:szCs w:val="28"/>
            </w:rPr>
            <w:fldChar w:fldCharType="separate"/>
          </w:r>
          <w:r>
            <w:rPr>
              <w:rFonts w:hint="eastAsia" w:ascii="仿宋_GB2312" w:eastAsia="仿宋_GB2312"/>
              <w:sz w:val="28"/>
              <w:szCs w:val="28"/>
            </w:rPr>
            <w:t>18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FFF091A">
          <w:pPr>
            <w:pStyle w:val="16"/>
            <w:tabs>
              <w:tab w:val="right" w:leader="dot" w:pos="9198"/>
            </w:tabs>
            <w:rPr>
              <w:rFonts w:ascii="仿宋_GB2312" w:eastAsia="仿宋_GB2312"/>
              <w:sz w:val="28"/>
              <w:szCs w:val="28"/>
            </w:rPr>
          </w:pPr>
          <w:r>
            <w:fldChar w:fldCharType="begin"/>
          </w:r>
          <w:r>
            <w:instrText xml:space="preserve"> HYPERLINK \l "_Toc188530552" </w:instrText>
          </w:r>
          <w:r>
            <w:fldChar w:fldCharType="separate"/>
          </w:r>
          <w:r>
            <w:rPr>
              <w:rStyle w:val="22"/>
              <w:rFonts w:hint="eastAsia" w:ascii="仿宋_GB2312" w:eastAsia="仿宋_GB2312"/>
              <w:sz w:val="28"/>
              <w:szCs w:val="28"/>
            </w:rPr>
            <w:t>（一）项目属性分析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_Toc188530552 \h </w:instrText>
          </w:r>
          <w:r>
            <w:rPr>
              <w:rFonts w:hint="eastAsia" w:ascii="仿宋_GB2312" w:eastAsia="仿宋_GB2312"/>
              <w:sz w:val="28"/>
              <w:szCs w:val="28"/>
            </w:rPr>
            <w:fldChar w:fldCharType="separate"/>
          </w:r>
          <w:r>
            <w:rPr>
              <w:rFonts w:hint="eastAsia" w:ascii="仿宋_GB2312" w:eastAsia="仿宋_GB2312"/>
              <w:sz w:val="28"/>
              <w:szCs w:val="28"/>
            </w:rPr>
            <w:t>18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60D0807">
          <w:pPr>
            <w:pStyle w:val="16"/>
            <w:tabs>
              <w:tab w:val="right" w:leader="dot" w:pos="9198"/>
            </w:tabs>
            <w:rPr>
              <w:rFonts w:ascii="仿宋_GB2312" w:eastAsia="仿宋_GB2312"/>
              <w:sz w:val="28"/>
              <w:szCs w:val="28"/>
            </w:rPr>
          </w:pPr>
          <w:r>
            <w:fldChar w:fldCharType="begin"/>
          </w:r>
          <w:r>
            <w:instrText xml:space="preserve"> HYPERLINK \l "_Toc188530553" </w:instrText>
          </w:r>
          <w:r>
            <w:fldChar w:fldCharType="separate"/>
          </w:r>
          <w:r>
            <w:rPr>
              <w:rStyle w:val="22"/>
              <w:rFonts w:hint="eastAsia" w:ascii="仿宋_GB2312" w:eastAsia="仿宋_GB2312"/>
              <w:sz w:val="28"/>
              <w:szCs w:val="28"/>
            </w:rPr>
            <w:t>（二）项目收费渠道和方式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_Toc188530553 \h </w:instrText>
          </w:r>
          <w:r>
            <w:rPr>
              <w:rFonts w:hint="eastAsia" w:ascii="仿宋_GB2312" w:eastAsia="仿宋_GB2312"/>
              <w:sz w:val="28"/>
              <w:szCs w:val="28"/>
            </w:rPr>
            <w:fldChar w:fldCharType="separate"/>
          </w:r>
          <w:r>
            <w:rPr>
              <w:rFonts w:hint="eastAsia" w:ascii="仿宋_GB2312" w:eastAsia="仿宋_GB2312"/>
              <w:sz w:val="28"/>
              <w:szCs w:val="28"/>
            </w:rPr>
            <w:t>19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CF9EFBA">
          <w:pPr>
            <w:pStyle w:val="16"/>
            <w:tabs>
              <w:tab w:val="right" w:leader="dot" w:pos="9198"/>
            </w:tabs>
            <w:rPr>
              <w:rFonts w:ascii="仿宋_GB2312" w:eastAsia="仿宋_GB2312"/>
              <w:sz w:val="28"/>
              <w:szCs w:val="28"/>
            </w:rPr>
          </w:pPr>
          <w:r>
            <w:fldChar w:fldCharType="begin"/>
          </w:r>
          <w:r>
            <w:instrText xml:space="preserve"> HYPERLINK \l "_Toc188530554" </w:instrText>
          </w:r>
          <w:r>
            <w:fldChar w:fldCharType="separate"/>
          </w:r>
          <w:r>
            <w:rPr>
              <w:rStyle w:val="22"/>
              <w:rFonts w:hint="eastAsia" w:ascii="仿宋_GB2312" w:eastAsia="仿宋_GB2312"/>
              <w:sz w:val="28"/>
              <w:szCs w:val="28"/>
            </w:rPr>
            <w:t>（三）项目盈利能力分析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_Toc188530554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B6E7DB9">
          <w:pPr>
            <w:pStyle w:val="16"/>
            <w:tabs>
              <w:tab w:val="right" w:leader="dot" w:pos="9198"/>
            </w:tabs>
            <w:rPr>
              <w:rFonts w:ascii="仿宋_GB2312" w:eastAsia="仿宋_GB2312"/>
              <w:sz w:val="28"/>
              <w:szCs w:val="28"/>
            </w:rPr>
          </w:pPr>
          <w:r>
            <w:fldChar w:fldCharType="begin"/>
          </w:r>
          <w:r>
            <w:instrText xml:space="preserve"> HYPERLINK \l "_Toc188530555" </w:instrText>
          </w:r>
          <w:r>
            <w:fldChar w:fldCharType="separate"/>
          </w:r>
          <w:r>
            <w:rPr>
              <w:rStyle w:val="22"/>
              <w:rFonts w:hint="eastAsia" w:ascii="仿宋_GB2312" w:eastAsia="仿宋_GB2312"/>
              <w:sz w:val="28"/>
              <w:szCs w:val="28"/>
            </w:rPr>
            <w:t>（四）比较优势分析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_Toc188530555 \h </w:instrText>
          </w:r>
          <w:r>
            <w:rPr>
              <w:rFonts w:hint="eastAsia" w:ascii="仿宋_GB2312" w:eastAsia="仿宋_GB2312"/>
              <w:sz w:val="28"/>
              <w:szCs w:val="28"/>
            </w:rPr>
            <w:fldChar w:fldCharType="separate"/>
          </w:r>
          <w:r>
            <w:rPr>
              <w:rFonts w:hint="eastAsia" w:ascii="仿宋_GB2312" w:eastAsia="仿宋_GB2312"/>
              <w:sz w:val="28"/>
              <w:szCs w:val="28"/>
            </w:rPr>
            <w:t>31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8DA032B">
          <w:pPr>
            <w:pStyle w:val="16"/>
            <w:tabs>
              <w:tab w:val="right" w:leader="dot" w:pos="9198"/>
            </w:tabs>
            <w:rPr>
              <w:rFonts w:ascii="仿宋_GB2312" w:eastAsia="仿宋_GB2312"/>
              <w:sz w:val="28"/>
              <w:szCs w:val="28"/>
            </w:rPr>
          </w:pPr>
          <w:r>
            <w:fldChar w:fldCharType="begin"/>
          </w:r>
          <w:r>
            <w:instrText xml:space="preserve"> HYPERLINK \l "_Toc188530556" </w:instrText>
          </w:r>
          <w:r>
            <w:fldChar w:fldCharType="separate"/>
          </w:r>
          <w:r>
            <w:rPr>
              <w:rStyle w:val="22"/>
              <w:rFonts w:hint="eastAsia" w:ascii="仿宋_GB2312" w:eastAsia="仿宋_GB2312"/>
              <w:sz w:val="28"/>
              <w:szCs w:val="28"/>
            </w:rPr>
            <w:t>（五）参与意愿分析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_Toc188530556 \h </w:instrText>
          </w:r>
          <w:r>
            <w:rPr>
              <w:rFonts w:hint="eastAsia" w:ascii="仿宋_GB2312" w:eastAsia="仿宋_GB2312"/>
              <w:sz w:val="28"/>
              <w:szCs w:val="28"/>
            </w:rPr>
            <w:fldChar w:fldCharType="separate"/>
          </w:r>
          <w:r>
            <w:rPr>
              <w:rFonts w:hint="eastAsia" w:ascii="仿宋_GB2312" w:eastAsia="仿宋_GB2312"/>
              <w:sz w:val="28"/>
              <w:szCs w:val="28"/>
            </w:rPr>
            <w:t>34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EB83DBE">
          <w:pPr>
            <w:pStyle w:val="16"/>
            <w:tabs>
              <w:tab w:val="right" w:leader="dot" w:pos="9198"/>
            </w:tabs>
            <w:rPr>
              <w:rFonts w:ascii="仿宋_GB2312" w:eastAsia="仿宋_GB2312"/>
              <w:sz w:val="28"/>
              <w:szCs w:val="28"/>
            </w:rPr>
          </w:pPr>
          <w:r>
            <w:fldChar w:fldCharType="begin"/>
          </w:r>
          <w:r>
            <w:instrText xml:space="preserve"> HYPERLINK \l "_Toc188530557" </w:instrText>
          </w:r>
          <w:r>
            <w:fldChar w:fldCharType="separate"/>
          </w:r>
          <w:r>
            <w:rPr>
              <w:rStyle w:val="22"/>
              <w:rFonts w:hint="eastAsia" w:ascii="仿宋_GB2312" w:eastAsia="仿宋_GB2312"/>
              <w:sz w:val="28"/>
              <w:szCs w:val="28"/>
            </w:rPr>
            <w:t>（六）合法合规性分析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_Toc188530557 \h </w:instrText>
          </w:r>
          <w:r>
            <w:rPr>
              <w:rFonts w:hint="eastAsia" w:ascii="仿宋_GB2312" w:eastAsia="仿宋_GB2312"/>
              <w:sz w:val="28"/>
              <w:szCs w:val="28"/>
            </w:rPr>
            <w:fldChar w:fldCharType="separate"/>
          </w:r>
          <w:r>
            <w:rPr>
              <w:rFonts w:hint="eastAsia" w:ascii="仿宋_GB2312" w:eastAsia="仿宋_GB2312"/>
              <w:sz w:val="28"/>
              <w:szCs w:val="28"/>
            </w:rPr>
            <w:t>34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D2599E8">
          <w:pPr>
            <w:pStyle w:val="16"/>
            <w:tabs>
              <w:tab w:val="right" w:leader="dot" w:pos="9198"/>
            </w:tabs>
            <w:rPr>
              <w:rFonts w:ascii="仿宋_GB2312" w:eastAsia="仿宋_GB2312"/>
              <w:sz w:val="28"/>
              <w:szCs w:val="28"/>
            </w:rPr>
          </w:pPr>
          <w:r>
            <w:fldChar w:fldCharType="begin"/>
          </w:r>
          <w:r>
            <w:instrText xml:space="preserve"> HYPERLINK \l "_Toc188530558" </w:instrText>
          </w:r>
          <w:r>
            <w:fldChar w:fldCharType="separate"/>
          </w:r>
          <w:r>
            <w:rPr>
              <w:rStyle w:val="22"/>
              <w:rFonts w:hint="eastAsia" w:ascii="仿宋_GB2312" w:eastAsia="仿宋_GB2312"/>
              <w:sz w:val="28"/>
              <w:szCs w:val="28"/>
            </w:rPr>
            <w:t>（七）特许经营风险分析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_Toc188530558 \h </w:instrText>
          </w:r>
          <w:r>
            <w:rPr>
              <w:rFonts w:hint="eastAsia" w:ascii="仿宋_GB2312" w:eastAsia="仿宋_GB2312"/>
              <w:sz w:val="28"/>
              <w:szCs w:val="28"/>
            </w:rPr>
            <w:fldChar w:fldCharType="separate"/>
          </w:r>
          <w:r>
            <w:rPr>
              <w:rFonts w:hint="eastAsia" w:ascii="仿宋_GB2312" w:eastAsia="仿宋_GB2312"/>
              <w:sz w:val="28"/>
              <w:szCs w:val="28"/>
            </w:rPr>
            <w:t>34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68E4B19">
          <w:pPr>
            <w:pStyle w:val="14"/>
            <w:tabs>
              <w:tab w:val="right" w:leader="dot" w:pos="9198"/>
            </w:tabs>
            <w:rPr>
              <w:rFonts w:ascii="仿宋_GB2312" w:eastAsia="仿宋_GB2312"/>
              <w:sz w:val="28"/>
              <w:szCs w:val="28"/>
            </w:rPr>
          </w:pPr>
          <w:r>
            <w:fldChar w:fldCharType="begin"/>
          </w:r>
          <w:r>
            <w:instrText xml:space="preserve"> HYPERLINK \l "_Toc188530559" </w:instrText>
          </w:r>
          <w:r>
            <w:fldChar w:fldCharType="separate"/>
          </w:r>
          <w:r>
            <w:rPr>
              <w:rStyle w:val="22"/>
              <w:rFonts w:hint="eastAsia" w:ascii="仿宋_GB2312" w:eastAsia="仿宋_GB2312"/>
              <w:sz w:val="28"/>
              <w:szCs w:val="28"/>
            </w:rPr>
            <w:t>四、特许经营主要内容</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_Toc188530559 \h </w:instrText>
          </w:r>
          <w:r>
            <w:rPr>
              <w:rFonts w:hint="eastAsia" w:ascii="仿宋_GB2312" w:eastAsia="仿宋_GB2312"/>
              <w:sz w:val="28"/>
              <w:szCs w:val="28"/>
            </w:rPr>
            <w:fldChar w:fldCharType="separate"/>
          </w:r>
          <w:r>
            <w:rPr>
              <w:rFonts w:hint="eastAsia" w:ascii="仿宋_GB2312" w:eastAsia="仿宋_GB2312"/>
              <w:sz w:val="28"/>
              <w:szCs w:val="28"/>
            </w:rPr>
            <w:t>36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BE3D4A0">
          <w:pPr>
            <w:pStyle w:val="16"/>
            <w:tabs>
              <w:tab w:val="right" w:leader="dot" w:pos="9198"/>
            </w:tabs>
            <w:rPr>
              <w:rFonts w:ascii="仿宋_GB2312" w:eastAsia="仿宋_GB2312"/>
              <w:sz w:val="28"/>
              <w:szCs w:val="28"/>
            </w:rPr>
          </w:pPr>
          <w:r>
            <w:fldChar w:fldCharType="begin"/>
          </w:r>
          <w:r>
            <w:instrText xml:space="preserve"> HYPERLINK \l "_Toc188530560" </w:instrText>
          </w:r>
          <w:r>
            <w:fldChar w:fldCharType="separate"/>
          </w:r>
          <w:r>
            <w:rPr>
              <w:rStyle w:val="22"/>
              <w:rFonts w:hint="eastAsia" w:ascii="仿宋_GB2312" w:eastAsia="仿宋_GB2312"/>
              <w:sz w:val="28"/>
              <w:szCs w:val="28"/>
            </w:rPr>
            <w:t>（一）实施方式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_Toc188530560 \h </w:instrText>
          </w:r>
          <w:r>
            <w:rPr>
              <w:rFonts w:hint="eastAsia" w:ascii="仿宋_GB2312" w:eastAsia="仿宋_GB2312"/>
              <w:sz w:val="28"/>
              <w:szCs w:val="28"/>
            </w:rPr>
            <w:fldChar w:fldCharType="separate"/>
          </w:r>
          <w:r>
            <w:rPr>
              <w:rFonts w:hint="eastAsia" w:ascii="仿宋_GB2312" w:eastAsia="仿宋_GB2312"/>
              <w:sz w:val="28"/>
              <w:szCs w:val="28"/>
            </w:rPr>
            <w:t>36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E60D019">
          <w:pPr>
            <w:pStyle w:val="16"/>
            <w:tabs>
              <w:tab w:val="right" w:leader="dot" w:pos="9198"/>
            </w:tabs>
            <w:rPr>
              <w:rFonts w:ascii="仿宋_GB2312" w:eastAsia="仿宋_GB2312"/>
              <w:sz w:val="28"/>
              <w:szCs w:val="28"/>
            </w:rPr>
          </w:pPr>
          <w:r>
            <w:fldChar w:fldCharType="begin"/>
          </w:r>
          <w:r>
            <w:instrText xml:space="preserve"> HYPERLINK \l "_Toc188530561" </w:instrText>
          </w:r>
          <w:r>
            <w:fldChar w:fldCharType="separate"/>
          </w:r>
          <w:r>
            <w:rPr>
              <w:rStyle w:val="22"/>
              <w:rFonts w:hint="eastAsia" w:ascii="仿宋_GB2312" w:eastAsia="仿宋_GB2312"/>
              <w:sz w:val="28"/>
              <w:szCs w:val="28"/>
            </w:rPr>
            <w:t>（二）特许经营期限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_Toc188530561 \h </w:instrText>
          </w:r>
          <w:r>
            <w:rPr>
              <w:rFonts w:hint="eastAsia" w:ascii="仿宋_GB2312" w:eastAsia="仿宋_GB2312"/>
              <w:sz w:val="28"/>
              <w:szCs w:val="28"/>
            </w:rPr>
            <w:fldChar w:fldCharType="separate"/>
          </w:r>
          <w:r>
            <w:rPr>
              <w:rFonts w:hint="eastAsia" w:ascii="仿宋_GB2312" w:eastAsia="仿宋_GB2312"/>
              <w:sz w:val="28"/>
              <w:szCs w:val="28"/>
            </w:rPr>
            <w:t>36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31C1DFB">
          <w:pPr>
            <w:pStyle w:val="16"/>
            <w:tabs>
              <w:tab w:val="right" w:leader="dot" w:pos="9198"/>
            </w:tabs>
            <w:rPr>
              <w:rFonts w:ascii="仿宋_GB2312" w:eastAsia="仿宋_GB2312"/>
              <w:sz w:val="28"/>
              <w:szCs w:val="28"/>
            </w:rPr>
          </w:pPr>
          <w:r>
            <w:fldChar w:fldCharType="begin"/>
          </w:r>
          <w:r>
            <w:instrText xml:space="preserve"> HYPERLINK \l "_Toc188530562" </w:instrText>
          </w:r>
          <w:r>
            <w:fldChar w:fldCharType="separate"/>
          </w:r>
          <w:r>
            <w:rPr>
              <w:rStyle w:val="22"/>
              <w:rFonts w:hint="eastAsia" w:ascii="仿宋_GB2312" w:eastAsia="仿宋_GB2312"/>
              <w:sz w:val="28"/>
              <w:szCs w:val="28"/>
            </w:rPr>
            <w:t>（三）资产权属</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_Toc188530562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8B70A49">
          <w:pPr>
            <w:pStyle w:val="16"/>
            <w:tabs>
              <w:tab w:val="right" w:leader="dot" w:pos="9198"/>
            </w:tabs>
            <w:rPr>
              <w:rFonts w:ascii="仿宋_GB2312" w:eastAsia="仿宋_GB2312"/>
              <w:sz w:val="28"/>
              <w:szCs w:val="28"/>
            </w:rPr>
          </w:pPr>
          <w:r>
            <w:fldChar w:fldCharType="begin"/>
          </w:r>
          <w:r>
            <w:instrText xml:space="preserve"> HYPERLINK \l "_Toc188530563" </w:instrText>
          </w:r>
          <w:r>
            <w:fldChar w:fldCharType="separate"/>
          </w:r>
          <w:r>
            <w:rPr>
              <w:rStyle w:val="22"/>
              <w:rFonts w:hint="eastAsia" w:ascii="仿宋_GB2312" w:eastAsia="仿宋_GB2312"/>
              <w:sz w:val="28"/>
              <w:szCs w:val="28"/>
            </w:rPr>
            <w:t>（四）特许经营主要原则和合作边界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_Toc188530563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1128623">
          <w:pPr>
            <w:pStyle w:val="16"/>
            <w:tabs>
              <w:tab w:val="right" w:leader="dot" w:pos="9198"/>
            </w:tabs>
            <w:rPr>
              <w:rFonts w:ascii="仿宋_GB2312" w:eastAsia="仿宋_GB2312"/>
              <w:sz w:val="28"/>
              <w:szCs w:val="28"/>
            </w:rPr>
          </w:pPr>
          <w:r>
            <w:fldChar w:fldCharType="begin"/>
          </w:r>
          <w:r>
            <w:instrText xml:space="preserve"> HYPERLINK \l "_Toc188530564" </w:instrText>
          </w:r>
          <w:r>
            <w:fldChar w:fldCharType="separate"/>
          </w:r>
          <w:r>
            <w:rPr>
              <w:rStyle w:val="22"/>
              <w:rFonts w:hint="eastAsia" w:ascii="仿宋_GB2312" w:eastAsia="仿宋_GB2312"/>
              <w:sz w:val="28"/>
              <w:szCs w:val="28"/>
            </w:rPr>
            <w:t>（五）特许经营者选择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_Toc188530564 \h </w:instrText>
          </w:r>
          <w:r>
            <w:rPr>
              <w:rFonts w:hint="eastAsia" w:ascii="仿宋_GB2312" w:eastAsia="仿宋_GB2312"/>
              <w:sz w:val="28"/>
              <w:szCs w:val="28"/>
            </w:rPr>
            <w:fldChar w:fldCharType="separate"/>
          </w:r>
          <w:r>
            <w:rPr>
              <w:rFonts w:hint="eastAsia" w:ascii="仿宋_GB2312" w:eastAsia="仿宋_GB2312"/>
              <w:sz w:val="28"/>
              <w:szCs w:val="28"/>
            </w:rPr>
            <w:t>43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EB0AAAE">
          <w:pPr>
            <w:pStyle w:val="16"/>
            <w:tabs>
              <w:tab w:val="right" w:leader="dot" w:pos="9198"/>
            </w:tabs>
            <w:rPr>
              <w:rFonts w:ascii="仿宋_GB2312" w:eastAsia="仿宋_GB2312"/>
              <w:sz w:val="28"/>
              <w:szCs w:val="28"/>
            </w:rPr>
          </w:pPr>
          <w:r>
            <w:fldChar w:fldCharType="begin"/>
          </w:r>
          <w:r>
            <w:instrText xml:space="preserve"> HYPERLINK \l "_Toc188530565" </w:instrText>
          </w:r>
          <w:r>
            <w:fldChar w:fldCharType="separate"/>
          </w:r>
          <w:r>
            <w:rPr>
              <w:rStyle w:val="22"/>
              <w:rFonts w:hint="eastAsia" w:ascii="仿宋_GB2312" w:eastAsia="仿宋_GB2312"/>
              <w:sz w:val="28"/>
              <w:szCs w:val="28"/>
            </w:rPr>
            <w:t>（六）交易结构与投融资结构</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_Toc188530565 \h </w:instrText>
          </w:r>
          <w:r>
            <w:rPr>
              <w:rFonts w:hint="eastAsia" w:ascii="仿宋_GB2312" w:eastAsia="仿宋_GB2312"/>
              <w:sz w:val="28"/>
              <w:szCs w:val="28"/>
            </w:rPr>
            <w:fldChar w:fldCharType="separate"/>
          </w:r>
          <w:r>
            <w:rPr>
              <w:rFonts w:hint="eastAsia" w:ascii="仿宋_GB2312" w:eastAsia="仿宋_GB2312"/>
              <w:sz w:val="28"/>
              <w:szCs w:val="28"/>
            </w:rPr>
            <w:t>45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A90B75E">
          <w:pPr>
            <w:pStyle w:val="16"/>
            <w:tabs>
              <w:tab w:val="right" w:leader="dot" w:pos="9198"/>
            </w:tabs>
            <w:rPr>
              <w:rFonts w:ascii="仿宋_GB2312" w:eastAsia="仿宋_GB2312"/>
              <w:sz w:val="28"/>
              <w:szCs w:val="28"/>
            </w:rPr>
          </w:pPr>
          <w:r>
            <w:fldChar w:fldCharType="begin"/>
          </w:r>
          <w:r>
            <w:instrText xml:space="preserve"> HYPERLINK \l "_Toc188530566" </w:instrText>
          </w:r>
          <w:r>
            <w:fldChar w:fldCharType="separate"/>
          </w:r>
          <w:r>
            <w:rPr>
              <w:rStyle w:val="22"/>
              <w:rFonts w:hint="eastAsia" w:ascii="仿宋_GB2312" w:eastAsia="仿宋_GB2312"/>
              <w:sz w:val="28"/>
              <w:szCs w:val="28"/>
            </w:rPr>
            <w:t>（七）监督管理和运营评价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_Toc188530566 \h </w:instrText>
          </w:r>
          <w:r>
            <w:rPr>
              <w:rFonts w:hint="eastAsia" w:ascii="仿宋_GB2312" w:eastAsia="仿宋_GB2312"/>
              <w:sz w:val="28"/>
              <w:szCs w:val="28"/>
            </w:rPr>
            <w:fldChar w:fldCharType="separate"/>
          </w:r>
          <w:r>
            <w:rPr>
              <w:rFonts w:hint="eastAsia" w:ascii="仿宋_GB2312" w:eastAsia="仿宋_GB2312"/>
              <w:sz w:val="28"/>
              <w:szCs w:val="28"/>
            </w:rPr>
            <w:t>47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CD7690A">
          <w:pPr>
            <w:pStyle w:val="16"/>
            <w:tabs>
              <w:tab w:val="right" w:leader="dot" w:pos="9198"/>
            </w:tabs>
            <w:rPr>
              <w:rFonts w:ascii="仿宋_GB2312" w:eastAsia="仿宋_GB2312"/>
              <w:sz w:val="28"/>
              <w:szCs w:val="28"/>
            </w:rPr>
          </w:pPr>
          <w:r>
            <w:fldChar w:fldCharType="begin"/>
          </w:r>
          <w:r>
            <w:instrText xml:space="preserve"> HYPERLINK \l "_Toc188530567" </w:instrText>
          </w:r>
          <w:r>
            <w:fldChar w:fldCharType="separate"/>
          </w:r>
          <w:r>
            <w:rPr>
              <w:rStyle w:val="22"/>
              <w:rFonts w:hint="eastAsia" w:ascii="仿宋_GB2312" w:eastAsia="仿宋_GB2312"/>
              <w:sz w:val="28"/>
              <w:szCs w:val="28"/>
            </w:rPr>
            <w:t>（八）风险管控</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_Toc188530567 \h </w:instrText>
          </w:r>
          <w:r>
            <w:rPr>
              <w:rFonts w:hint="eastAsia" w:ascii="仿宋_GB2312" w:eastAsia="仿宋_GB2312"/>
              <w:sz w:val="28"/>
              <w:szCs w:val="28"/>
            </w:rPr>
            <w:fldChar w:fldCharType="separate"/>
          </w:r>
          <w:r>
            <w:rPr>
              <w:rFonts w:hint="eastAsia" w:ascii="仿宋_GB2312" w:eastAsia="仿宋_GB2312"/>
              <w:sz w:val="28"/>
              <w:szCs w:val="28"/>
            </w:rPr>
            <w:t>54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EE580F2">
          <w:pPr>
            <w:pStyle w:val="16"/>
            <w:tabs>
              <w:tab w:val="right" w:leader="dot" w:pos="9198"/>
            </w:tabs>
            <w:rPr>
              <w:rFonts w:ascii="仿宋_GB2312" w:eastAsia="仿宋_GB2312"/>
              <w:sz w:val="28"/>
              <w:szCs w:val="28"/>
            </w:rPr>
          </w:pPr>
          <w:r>
            <w:fldChar w:fldCharType="begin"/>
          </w:r>
          <w:r>
            <w:instrText xml:space="preserve"> HYPERLINK \l "_Toc188530568" </w:instrText>
          </w:r>
          <w:r>
            <w:fldChar w:fldCharType="separate"/>
          </w:r>
          <w:r>
            <w:rPr>
              <w:rStyle w:val="22"/>
              <w:rFonts w:hint="eastAsia" w:ascii="仿宋_GB2312" w:eastAsia="仿宋_GB2312"/>
              <w:sz w:val="28"/>
              <w:szCs w:val="28"/>
            </w:rPr>
            <w:t>（九）政府承诺和保障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_Toc188530568 \h </w:instrText>
          </w:r>
          <w:r>
            <w:rPr>
              <w:rFonts w:hint="eastAsia" w:ascii="仿宋_GB2312" w:eastAsia="仿宋_GB2312"/>
              <w:sz w:val="28"/>
              <w:szCs w:val="28"/>
            </w:rPr>
            <w:fldChar w:fldCharType="separate"/>
          </w:r>
          <w:r>
            <w:rPr>
              <w:rFonts w:hint="eastAsia" w:ascii="仿宋_GB2312" w:eastAsia="仿宋_GB2312"/>
              <w:sz w:val="28"/>
              <w:szCs w:val="28"/>
            </w:rPr>
            <w:t>59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590955C">
          <w:pPr>
            <w:pStyle w:val="16"/>
            <w:tabs>
              <w:tab w:val="right" w:leader="dot" w:pos="9198"/>
            </w:tabs>
            <w:rPr>
              <w:rFonts w:ascii="仿宋_GB2312" w:eastAsia="仿宋_GB2312"/>
              <w:sz w:val="28"/>
              <w:szCs w:val="28"/>
            </w:rPr>
          </w:pPr>
          <w:r>
            <w:fldChar w:fldCharType="begin"/>
          </w:r>
          <w:r>
            <w:instrText xml:space="preserve"> HYPERLINK \l "_Toc188530569" </w:instrText>
          </w:r>
          <w:r>
            <w:fldChar w:fldCharType="separate"/>
          </w:r>
          <w:r>
            <w:rPr>
              <w:rStyle w:val="22"/>
              <w:rFonts w:hint="eastAsia" w:ascii="仿宋_GB2312" w:eastAsia="仿宋_GB2312"/>
              <w:sz w:val="28"/>
              <w:szCs w:val="28"/>
            </w:rPr>
            <w:t>（十）调整、变更等其他要求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_Toc188530569 \h </w:instrText>
          </w:r>
          <w:r>
            <w:rPr>
              <w:rFonts w:hint="eastAsia" w:ascii="仿宋_GB2312" w:eastAsia="仿宋_GB2312"/>
              <w:sz w:val="28"/>
              <w:szCs w:val="28"/>
            </w:rPr>
            <w:fldChar w:fldCharType="separate"/>
          </w:r>
          <w:r>
            <w:rPr>
              <w:rFonts w:hint="eastAsia" w:ascii="仿宋_GB2312" w:eastAsia="仿宋_GB2312"/>
              <w:sz w:val="28"/>
              <w:szCs w:val="28"/>
            </w:rPr>
            <w:t>59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6BED546">
          <w:pPr>
            <w:pStyle w:val="14"/>
            <w:tabs>
              <w:tab w:val="right" w:leader="dot" w:pos="9198"/>
            </w:tabs>
            <w:rPr>
              <w:rFonts w:ascii="仿宋_GB2312" w:eastAsia="仿宋_GB2312"/>
              <w:sz w:val="28"/>
              <w:szCs w:val="28"/>
            </w:rPr>
          </w:pPr>
          <w:r>
            <w:fldChar w:fldCharType="begin"/>
          </w:r>
          <w:r>
            <w:instrText xml:space="preserve"> HYPERLINK \l "_Toc188530570" </w:instrText>
          </w:r>
          <w:r>
            <w:fldChar w:fldCharType="separate"/>
          </w:r>
          <w:r>
            <w:rPr>
              <w:rStyle w:val="22"/>
              <w:rFonts w:hint="eastAsia" w:ascii="仿宋_GB2312" w:eastAsia="仿宋_GB2312"/>
              <w:sz w:val="28"/>
              <w:szCs w:val="28"/>
            </w:rPr>
            <w:t>五、结论和建议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_Toc188530570 \h </w:instrText>
          </w:r>
          <w:r>
            <w:rPr>
              <w:rFonts w:hint="eastAsia" w:ascii="仿宋_GB2312" w:eastAsia="仿宋_GB2312"/>
              <w:sz w:val="28"/>
              <w:szCs w:val="28"/>
            </w:rPr>
            <w:fldChar w:fldCharType="separate"/>
          </w:r>
          <w:r>
            <w:rPr>
              <w:rFonts w:hint="eastAsia" w:ascii="仿宋_GB2312" w:eastAsia="仿宋_GB2312"/>
              <w:sz w:val="28"/>
              <w:szCs w:val="28"/>
            </w:rPr>
            <w:t>68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20892A9">
          <w:pPr>
            <w:pStyle w:val="16"/>
            <w:tabs>
              <w:tab w:val="right" w:leader="dot" w:pos="9198"/>
            </w:tabs>
            <w:rPr>
              <w:rFonts w:ascii="仿宋_GB2312" w:eastAsia="仿宋_GB2312"/>
              <w:sz w:val="28"/>
              <w:szCs w:val="28"/>
            </w:rPr>
          </w:pPr>
          <w:r>
            <w:fldChar w:fldCharType="begin"/>
          </w:r>
          <w:r>
            <w:instrText xml:space="preserve"> HYPERLINK \l "_Toc188530571" </w:instrText>
          </w:r>
          <w:r>
            <w:fldChar w:fldCharType="separate"/>
          </w:r>
          <w:r>
            <w:rPr>
              <w:rStyle w:val="22"/>
              <w:rFonts w:hint="eastAsia" w:ascii="仿宋_GB2312" w:eastAsia="仿宋_GB2312"/>
              <w:sz w:val="28"/>
              <w:szCs w:val="28"/>
            </w:rPr>
            <w:t>（一）主要研究结论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_Toc188530571 \h </w:instrText>
          </w:r>
          <w:r>
            <w:rPr>
              <w:rFonts w:hint="eastAsia" w:ascii="仿宋_GB2312" w:eastAsia="仿宋_GB2312"/>
              <w:sz w:val="28"/>
              <w:szCs w:val="28"/>
            </w:rPr>
            <w:fldChar w:fldCharType="separate"/>
          </w:r>
          <w:r>
            <w:rPr>
              <w:rFonts w:hint="eastAsia" w:ascii="仿宋_GB2312" w:eastAsia="仿宋_GB2312"/>
              <w:sz w:val="28"/>
              <w:szCs w:val="28"/>
            </w:rPr>
            <w:t>68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DEF01AA">
          <w:pPr>
            <w:pStyle w:val="16"/>
            <w:tabs>
              <w:tab w:val="right" w:leader="dot" w:pos="9198"/>
            </w:tabs>
            <w:rPr>
              <w:rFonts w:ascii="仿宋_GB2312" w:eastAsia="仿宋_GB2312"/>
              <w:sz w:val="28"/>
              <w:szCs w:val="28"/>
            </w:rPr>
          </w:pPr>
          <w:r>
            <w:fldChar w:fldCharType="begin"/>
          </w:r>
          <w:r>
            <w:instrText xml:space="preserve"> HYPERLINK \l "_Toc188530572" </w:instrText>
          </w:r>
          <w:r>
            <w:fldChar w:fldCharType="separate"/>
          </w:r>
          <w:r>
            <w:rPr>
              <w:rStyle w:val="22"/>
              <w:rFonts w:hint="eastAsia" w:ascii="仿宋_GB2312" w:eastAsia="仿宋_GB2312"/>
              <w:sz w:val="28"/>
              <w:szCs w:val="28"/>
            </w:rPr>
            <w:t>（二）建议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_Toc188530572 \h </w:instrText>
          </w:r>
          <w:r>
            <w:rPr>
              <w:rFonts w:hint="eastAsia" w:ascii="仿宋_GB2312" w:eastAsia="仿宋_GB2312"/>
              <w:sz w:val="28"/>
              <w:szCs w:val="28"/>
            </w:rPr>
            <w:fldChar w:fldCharType="separate"/>
          </w:r>
          <w:r>
            <w:rPr>
              <w:rFonts w:hint="eastAsia" w:ascii="仿宋_GB2312" w:eastAsia="仿宋_GB2312"/>
              <w:sz w:val="28"/>
              <w:szCs w:val="28"/>
            </w:rPr>
            <w:t>68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51F86F0">
          <w:pPr>
            <w:pStyle w:val="16"/>
            <w:tabs>
              <w:tab w:val="right" w:leader="dot" w:pos="9198"/>
            </w:tabs>
            <w:rPr>
              <w:rFonts w:ascii="仿宋_GB2312" w:eastAsia="仿宋_GB2312"/>
              <w:sz w:val="28"/>
              <w:szCs w:val="28"/>
            </w:rPr>
          </w:pPr>
          <w:r>
            <w:fldChar w:fldCharType="begin"/>
          </w:r>
          <w:r>
            <w:instrText xml:space="preserve"> HYPERLINK \l "_Toc188530573" </w:instrText>
          </w:r>
          <w:r>
            <w:fldChar w:fldCharType="separate"/>
          </w:r>
          <w:r>
            <w:rPr>
              <w:rStyle w:val="22"/>
              <w:rFonts w:hint="eastAsia" w:ascii="仿宋_GB2312" w:eastAsia="仿宋_GB2312"/>
              <w:sz w:val="28"/>
              <w:szCs w:val="28"/>
            </w:rPr>
            <w:t>附件一：资产评估报告（待补充）</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_Toc188530573 \h </w:instrText>
          </w:r>
          <w:r>
            <w:rPr>
              <w:rFonts w:hint="eastAsia" w:ascii="仿宋_GB2312" w:eastAsia="仿宋_GB2312"/>
              <w:sz w:val="28"/>
              <w:szCs w:val="28"/>
            </w:rPr>
            <w:fldChar w:fldCharType="separate"/>
          </w:r>
          <w:r>
            <w:rPr>
              <w:rFonts w:hint="eastAsia" w:ascii="仿宋_GB2312" w:eastAsia="仿宋_GB2312"/>
              <w:sz w:val="28"/>
              <w:szCs w:val="28"/>
            </w:rPr>
            <w:t>69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5888E29">
          <w:pPr>
            <w:pStyle w:val="16"/>
            <w:tabs>
              <w:tab w:val="right" w:leader="dot" w:pos="9198"/>
            </w:tabs>
            <w:rPr>
              <w:rFonts w:ascii="仿宋_GB2312" w:eastAsia="仿宋_GB2312"/>
              <w:sz w:val="28"/>
              <w:szCs w:val="28"/>
            </w:rPr>
          </w:pPr>
          <w:r>
            <w:fldChar w:fldCharType="begin"/>
          </w:r>
          <w:r>
            <w:instrText xml:space="preserve"> HYPERLINK \l "_Toc188530574" </w:instrText>
          </w:r>
          <w:r>
            <w:fldChar w:fldCharType="separate"/>
          </w:r>
          <w:r>
            <w:rPr>
              <w:rStyle w:val="22"/>
              <w:rFonts w:hint="eastAsia" w:ascii="仿宋_GB2312" w:eastAsia="仿宋_GB2312"/>
              <w:sz w:val="28"/>
              <w:szCs w:val="28"/>
            </w:rPr>
            <w:t>附件二：财务测算表格</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_Toc188530574 \h </w:instrText>
          </w:r>
          <w:r>
            <w:rPr>
              <w:rFonts w:hint="eastAsia" w:ascii="仿宋_GB2312" w:eastAsia="仿宋_GB2312"/>
              <w:sz w:val="28"/>
              <w:szCs w:val="28"/>
            </w:rPr>
            <w:fldChar w:fldCharType="separate"/>
          </w:r>
          <w:r>
            <w:rPr>
              <w:rFonts w:hint="eastAsia" w:ascii="仿宋_GB2312" w:eastAsia="仿宋_GB2312"/>
              <w:sz w:val="28"/>
              <w:szCs w:val="28"/>
            </w:rPr>
            <w:t>70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76FD7EF">
          <w:pPr>
            <w:spacing w:line="380" w:lineRule="exact"/>
            <w:rPr>
              <w:rFonts w:ascii="Times New Roman Regular" w:hAnsi="Times New Roman Regular"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fldChar w:fldCharType="end"/>
          </w:r>
        </w:p>
      </w:sdtContent>
    </w:sdt>
    <w:p w14:paraId="44EE8895">
      <w:pPr>
        <w:pStyle w:val="17"/>
        <w:widowControl/>
        <w:shd w:val="clear" w:color="auto" w:fill="FFFFFF"/>
        <w:spacing w:before="100" w:after="100"/>
        <w:ind w:firstLine="560"/>
        <w:outlineLvl w:val="0"/>
        <w:rPr>
          <w:rFonts w:ascii="Times New Roman Regular" w:hAnsi="Times New Roman Regular" w:eastAsia="黑体" w:cs="Times New Roman Regular"/>
          <w:color w:val="000000" w:themeColor="text1"/>
          <w:sz w:val="28"/>
          <w:szCs w:val="28"/>
          <w14:textFill>
            <w14:solidFill>
              <w14:schemeClr w14:val="tx1"/>
            </w14:solidFill>
          </w14:textFill>
        </w:rPr>
        <w:sectPr>
          <w:footerReference r:id="rId3" w:type="default"/>
          <w:pgSz w:w="11906" w:h="16838"/>
          <w:pgMar w:top="1440" w:right="1349" w:bottom="1440" w:left="1349" w:header="851" w:footer="992" w:gutter="0"/>
          <w:cols w:space="425" w:num="1"/>
          <w:docGrid w:type="lines" w:linePitch="312" w:charSpace="0"/>
        </w:sectPr>
      </w:pPr>
      <w:bookmarkStart w:id="3" w:name="_Toc30283"/>
      <w:bookmarkStart w:id="4" w:name="_Toc24200"/>
      <w:bookmarkStart w:id="5" w:name="_Toc31426"/>
    </w:p>
    <w:p w14:paraId="48BBD759">
      <w:pPr>
        <w:pStyle w:val="3"/>
      </w:pPr>
      <w:bookmarkStart w:id="6" w:name="_Toc188530542"/>
      <w:r>
        <w:t>一、概</w:t>
      </w:r>
      <w:r>
        <w:rPr>
          <w:rFonts w:hint="eastAsia"/>
        </w:rPr>
        <w:t xml:space="preserve"> </w:t>
      </w:r>
      <w:r>
        <w:t>述</w:t>
      </w:r>
      <w:bookmarkEnd w:id="3"/>
      <w:bookmarkEnd w:id="4"/>
      <w:bookmarkEnd w:id="5"/>
      <w:bookmarkEnd w:id="6"/>
    </w:p>
    <w:p w14:paraId="69413DE8">
      <w:pPr>
        <w:pStyle w:val="4"/>
      </w:pPr>
      <w:bookmarkStart w:id="7" w:name="_Toc7451"/>
      <w:bookmarkStart w:id="8" w:name="_Toc8756"/>
      <w:bookmarkStart w:id="9" w:name="_Toc488"/>
      <w:bookmarkStart w:id="10" w:name="_Toc188530543"/>
      <w:r>
        <w:rPr>
          <w:rStyle w:val="21"/>
          <w:rFonts w:eastAsia="黑体" w:asciiTheme="majorHAnsi" w:hAnsiTheme="majorHAnsi" w:cstheme="majorBidi"/>
          <w:b/>
          <w:color w:val="auto"/>
          <w:spacing w:val="0"/>
          <w:szCs w:val="32"/>
          <w:shd w:val="clear" w:color="auto" w:fill="auto"/>
        </w:rPr>
        <w:t>（一）项目概况</w:t>
      </w:r>
      <w:bookmarkEnd w:id="7"/>
      <w:bookmarkEnd w:id="8"/>
      <w:bookmarkEnd w:id="9"/>
      <w:bookmarkEnd w:id="10"/>
    </w:p>
    <w:p w14:paraId="06F0DF8D">
      <w:pPr>
        <w:pStyle w:val="5"/>
      </w:pPr>
      <w:bookmarkStart w:id="11" w:name="_Toc4608"/>
      <w:bookmarkStart w:id="12" w:name="_Toc20631"/>
      <w:r>
        <w:t>1、项目名称</w:t>
      </w:r>
      <w:bookmarkEnd w:id="11"/>
      <w:bookmarkEnd w:id="12"/>
    </w:p>
    <w:p w14:paraId="61BCD7C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湘桥区农村污水治理TOT特许经营项目</w:t>
      </w:r>
    </w:p>
    <w:p w14:paraId="24AE9F92">
      <w:pPr>
        <w:pStyle w:val="5"/>
      </w:pPr>
      <w:bookmarkStart w:id="13" w:name="_Toc7756"/>
      <w:bookmarkStart w:id="14" w:name="_Toc15653"/>
      <w:r>
        <w:t>2、实施目标和任务</w:t>
      </w:r>
      <w:bookmarkEnd w:id="13"/>
      <w:bookmarkEnd w:id="14"/>
    </w:p>
    <w:p w14:paraId="5A2C794E">
      <w:pPr>
        <w:autoSpaceDE w:val="0"/>
        <w:autoSpaceDN w:val="0"/>
        <w:adjustRightInd w:val="0"/>
        <w:ind w:firstLine="560" w:firstLineChars="200"/>
        <w:jc w:val="left"/>
        <w:rPr>
          <w:rFonts w:ascii="仿宋_GB2312" w:hAnsi="Times New Roman" w:eastAsia="仿宋_GB2312" w:cs="仿宋_GB2312"/>
          <w:kern w:val="0"/>
          <w:sz w:val="28"/>
          <w:szCs w:val="28"/>
        </w:rPr>
      </w:pPr>
      <w:r>
        <w:rPr>
          <w:rFonts w:ascii="Times New Roman Regular" w:hAnsi="Times New Roman Regular" w:eastAsia="仿宋_GB2312" w:cs="Times New Roman Regular"/>
          <w:color w:val="000000" w:themeColor="text1"/>
          <w:kern w:val="0"/>
          <w:sz w:val="28"/>
          <w:szCs w:val="28"/>
          <w14:textFill>
            <w14:solidFill>
              <w14:schemeClr w14:val="tx1"/>
            </w14:solidFill>
          </w14:textFill>
        </w:rPr>
        <w:t>本项目的目标和任务是为了认真</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落实市委市政府关于</w:t>
      </w:r>
      <w:r>
        <w:rPr>
          <w:rFonts w:hint="eastAsia" w:ascii="仿宋_GB2312" w:hAnsi="Times New Roman" w:eastAsia="仿宋_GB2312" w:cs="仿宋_GB2312"/>
          <w:kern w:val="0"/>
          <w:sz w:val="28"/>
          <w:szCs w:val="28"/>
        </w:rPr>
        <w:t>涉水事务一体化改革</w:t>
      </w:r>
      <w:r>
        <w:rPr>
          <w:rFonts w:hint="eastAsia" w:ascii="仿宋_GB2312" w:hAnsi="Times New Roman" w:eastAsia="仿宋_GB2312" w:cs="仿宋_GB2312"/>
          <w:sz w:val="28"/>
          <w:szCs w:val="28"/>
        </w:rPr>
        <w:t>的相关要求，</w:t>
      </w:r>
      <w:r>
        <w:rPr>
          <w:rFonts w:hint="eastAsia" w:ascii="仿宋_GB2312" w:hAnsi="Times New Roman" w:eastAsia="仿宋_GB2312" w:cs="仿宋_GB2312"/>
          <w:kern w:val="0"/>
          <w:sz w:val="28"/>
          <w:szCs w:val="28"/>
        </w:rPr>
        <w:t>尽快推进湘桥区农村污水治理项目“</w:t>
      </w:r>
      <w:r>
        <w:rPr>
          <w:rFonts w:ascii="仿宋_GB2312" w:hAnsi="Times New Roman" w:eastAsia="仿宋_GB2312" w:cs="仿宋_GB2312"/>
          <w:kern w:val="0"/>
          <w:sz w:val="28"/>
          <w:szCs w:val="28"/>
        </w:rPr>
        <w:t xml:space="preserve">TOT </w:t>
      </w:r>
      <w:r>
        <w:rPr>
          <w:rFonts w:hint="eastAsia" w:ascii="仿宋_GB2312" w:hAnsi="Times New Roman" w:eastAsia="仿宋_GB2312" w:cs="仿宋_GB2312"/>
          <w:kern w:val="0"/>
          <w:sz w:val="28"/>
          <w:szCs w:val="28"/>
        </w:rPr>
        <w:t>模式”融资，引入专业运营机构，盘活存量资产，</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提高</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农村污水治理</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设施集约化、规模化</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建设运营能</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力，提升</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农村污水治理</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设施专业化、精细化、信息化管养水平</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w:t>
      </w:r>
      <w:r>
        <w:rPr>
          <w:rFonts w:hint="eastAsia" w:ascii="仿宋_GB2312" w:hAnsi="Times New Roman" w:eastAsia="仿宋_GB2312" w:cs="仿宋_GB2312"/>
          <w:kern w:val="0"/>
          <w:sz w:val="28"/>
          <w:szCs w:val="28"/>
        </w:rPr>
        <w:t>进一步提高农村污水治理设施的运营效率</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w:t>
      </w:r>
    </w:p>
    <w:p w14:paraId="77369A4C">
      <w:pPr>
        <w:pStyle w:val="5"/>
      </w:pPr>
      <w:bookmarkStart w:id="15" w:name="_Toc9349"/>
      <w:bookmarkStart w:id="16" w:name="_Toc31775"/>
      <w:r>
        <w:t>3、项目功能和定位</w:t>
      </w:r>
      <w:bookmarkEnd w:id="15"/>
      <w:bookmarkEnd w:id="16"/>
    </w:p>
    <w:p w14:paraId="03654D1C">
      <w:pPr>
        <w:widowControl/>
        <w:shd w:val="clear" w:color="auto" w:fill="FFFFFF"/>
        <w:ind w:firstLine="560" w:firstLineChars="200"/>
        <w:jc w:val="left"/>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农村污水治理项目的功能定位是多维度、综合性的，旨在解决农村污水问题，促进农村地区的可持续发展</w:t>
      </w:r>
      <w:r>
        <w:rPr>
          <w:rFonts w:hint="eastAsia" w:ascii="仿宋_GB2312" w:hAnsi="Times New Roman" w:eastAsia="仿宋_GB2312" w:cs="仿宋_GB2312"/>
          <w:kern w:val="0"/>
          <w:sz w:val="28"/>
          <w:szCs w:val="28"/>
        </w:rPr>
        <w:t>。本项目是湘桥区已建成的</w:t>
      </w:r>
      <w:r>
        <w:rPr>
          <w:rFonts w:ascii="仿宋_GB2312" w:hAnsi="Times New Roman" w:eastAsia="仿宋_GB2312" w:cs="仿宋_GB2312"/>
          <w:kern w:val="0"/>
          <w:sz w:val="28"/>
          <w:szCs w:val="28"/>
        </w:rPr>
        <w:t>农村生活污水治理设施 TOT（Transfer - Operate - Transfer，即转让 - 运营 - 移交）项目，是在一定期限内，将存量农村生活污水治理设施的经营权有偿转让给社会资本方，由其进行运营管理，期满后再移交给政府或相关部门的一种项目运作模式。这种项目具有独特的功能定位</w:t>
      </w:r>
      <w:r>
        <w:rPr>
          <w:rFonts w:hint="eastAsia" w:ascii="仿宋_GB2312" w:hAnsi="Times New Roman" w:eastAsia="仿宋_GB2312" w:cs="仿宋_GB2312"/>
          <w:kern w:val="0"/>
          <w:sz w:val="28"/>
          <w:szCs w:val="28"/>
        </w:rPr>
        <w:t>，</w:t>
      </w:r>
      <w:r>
        <w:rPr>
          <w:rFonts w:ascii="仿宋_GB2312" w:hAnsi="Times New Roman" w:eastAsia="仿宋_GB2312" w:cs="仿宋_GB2312"/>
          <w:kern w:val="0"/>
          <w:sz w:val="28"/>
          <w:szCs w:val="28"/>
        </w:rPr>
        <w:t>主要涵盖以下几个方面：</w:t>
      </w:r>
    </w:p>
    <w:p w14:paraId="3418BC31">
      <w:pPr>
        <w:pStyle w:val="6"/>
      </w:pPr>
      <w:r>
        <w:rPr>
          <w:rFonts w:hint="eastAsia"/>
        </w:rPr>
        <w:t>（1）从政府层面来看</w:t>
      </w:r>
    </w:p>
    <w:p w14:paraId="5BE251D0">
      <w:pPr>
        <w:widowControl/>
        <w:shd w:val="clear" w:color="auto" w:fill="FFFFFF"/>
        <w:ind w:firstLine="562" w:firstLineChars="200"/>
        <w:jc w:val="left"/>
        <w:rPr>
          <w:rFonts w:ascii="仿宋_GB2312" w:hAnsi="Times New Roman" w:eastAsia="仿宋_GB2312" w:cs="仿宋_GB2312"/>
          <w:kern w:val="0"/>
          <w:sz w:val="28"/>
          <w:szCs w:val="28"/>
        </w:rPr>
      </w:pPr>
      <w:r>
        <w:rPr>
          <w:rFonts w:ascii="仿宋_GB2312" w:hAnsi="Times New Roman" w:eastAsia="仿宋_GB2312" w:cs="仿宋_GB2312"/>
          <w:b/>
          <w:kern w:val="0"/>
          <w:sz w:val="28"/>
          <w:szCs w:val="28"/>
        </w:rPr>
        <w:t>缓解财政负担</w:t>
      </w:r>
      <w:r>
        <w:rPr>
          <w:rFonts w:ascii="仿宋_GB2312" w:hAnsi="Times New Roman" w:eastAsia="仿宋_GB2312" w:cs="仿宋_GB2312"/>
          <w:kern w:val="0"/>
          <w:sz w:val="28"/>
          <w:szCs w:val="28"/>
        </w:rPr>
        <w:t>：在农村生活污水治理设施建设与运营过程中，财政资金的持续投入给政府带来一定压力。通过 TOT 模式，政府将存量设施转让给社会资本，能一次性回笼资金。为政府提供了资金周转空间，让政府将有限的财政资源，</w:t>
      </w:r>
      <w:r>
        <w:rPr>
          <w:rFonts w:hint="eastAsia" w:ascii="仿宋_GB2312" w:hAnsi="Times New Roman" w:eastAsia="仿宋_GB2312" w:cs="仿宋_GB2312"/>
          <w:kern w:val="0"/>
          <w:sz w:val="28"/>
          <w:szCs w:val="28"/>
        </w:rPr>
        <w:t>再次</w:t>
      </w:r>
      <w:r>
        <w:rPr>
          <w:rFonts w:ascii="仿宋_GB2312" w:hAnsi="Times New Roman" w:eastAsia="仿宋_GB2312" w:cs="仿宋_GB2312"/>
          <w:kern w:val="0"/>
          <w:sz w:val="28"/>
          <w:szCs w:val="28"/>
        </w:rPr>
        <w:t>投入到农村</w:t>
      </w:r>
      <w:r>
        <w:rPr>
          <w:rFonts w:hint="eastAsia" w:ascii="仿宋_GB2312" w:hAnsi="Times New Roman" w:eastAsia="仿宋_GB2312" w:cs="仿宋_GB2312"/>
          <w:kern w:val="0"/>
          <w:sz w:val="28"/>
          <w:szCs w:val="28"/>
        </w:rPr>
        <w:t>污水治理等</w:t>
      </w:r>
      <w:r>
        <w:rPr>
          <w:rFonts w:ascii="仿宋_GB2312" w:hAnsi="Times New Roman" w:eastAsia="仿宋_GB2312" w:cs="仿宋_GB2312"/>
          <w:kern w:val="0"/>
          <w:sz w:val="28"/>
          <w:szCs w:val="28"/>
        </w:rPr>
        <w:t>关键的基础设施建设和公共服务领域，推动农村全面发展。</w:t>
      </w:r>
    </w:p>
    <w:p w14:paraId="146986B6">
      <w:pPr>
        <w:widowControl/>
        <w:shd w:val="clear" w:color="auto" w:fill="FFFFFF"/>
        <w:ind w:firstLine="562" w:firstLineChars="200"/>
        <w:jc w:val="left"/>
        <w:rPr>
          <w:rFonts w:ascii="仿宋_GB2312" w:hAnsi="Times New Roman" w:eastAsia="仿宋_GB2312" w:cs="仿宋_GB2312"/>
          <w:kern w:val="0"/>
          <w:sz w:val="28"/>
          <w:szCs w:val="28"/>
        </w:rPr>
      </w:pPr>
      <w:r>
        <w:rPr>
          <w:rFonts w:ascii="仿宋_GB2312" w:hAnsi="Times New Roman" w:eastAsia="仿宋_GB2312" w:cs="仿宋_GB2312"/>
          <w:b/>
          <w:kern w:val="0"/>
          <w:sz w:val="28"/>
          <w:szCs w:val="28"/>
        </w:rPr>
        <w:t>优化运营效能</w:t>
      </w:r>
      <w:r>
        <w:rPr>
          <w:rFonts w:ascii="仿宋_GB2312" w:hAnsi="Times New Roman" w:eastAsia="仿宋_GB2312" w:cs="仿宋_GB2312"/>
          <w:kern w:val="0"/>
          <w:sz w:val="28"/>
          <w:szCs w:val="28"/>
        </w:rPr>
        <w:t>：社会资本凭借在专业技术、管理经验和运营模式等方面的优势，能够为农村生活污水治理设施注入新的活力。与政府自行运营相比，社会资本更能精准地把控运营成本，提高处理效率，提升服务质量</w:t>
      </w:r>
      <w:r>
        <w:rPr>
          <w:rFonts w:hint="eastAsia" w:ascii="仿宋_GB2312" w:hAnsi="Times New Roman" w:eastAsia="仿宋_GB2312" w:cs="仿宋_GB2312"/>
          <w:kern w:val="0"/>
          <w:sz w:val="28"/>
          <w:szCs w:val="28"/>
        </w:rPr>
        <w:t>，</w:t>
      </w:r>
      <w:r>
        <w:rPr>
          <w:rFonts w:ascii="仿宋_GB2312" w:hAnsi="Times New Roman" w:eastAsia="仿宋_GB2312" w:cs="仿宋_GB2312"/>
          <w:kern w:val="0"/>
          <w:sz w:val="28"/>
          <w:szCs w:val="28"/>
        </w:rPr>
        <w:t>从而有效解决政府在设施运营中可能面临的专业短板和效率瓶颈问题。</w:t>
      </w:r>
    </w:p>
    <w:p w14:paraId="2F61A80B">
      <w:pPr>
        <w:widowControl/>
        <w:shd w:val="clear" w:color="auto" w:fill="FFFFFF"/>
        <w:ind w:firstLine="562" w:firstLineChars="200"/>
        <w:jc w:val="left"/>
        <w:rPr>
          <w:rFonts w:ascii="仿宋_GB2312" w:hAnsi="Times New Roman" w:eastAsia="仿宋_GB2312" w:cs="仿宋_GB2312"/>
          <w:kern w:val="0"/>
          <w:sz w:val="28"/>
          <w:szCs w:val="28"/>
        </w:rPr>
      </w:pPr>
      <w:r>
        <w:rPr>
          <w:rFonts w:ascii="仿宋_GB2312" w:hAnsi="Times New Roman" w:eastAsia="仿宋_GB2312" w:cs="仿宋_GB2312"/>
          <w:b/>
          <w:kern w:val="0"/>
          <w:sz w:val="28"/>
          <w:szCs w:val="28"/>
        </w:rPr>
        <w:t>推动职能转变</w:t>
      </w:r>
      <w:r>
        <w:rPr>
          <w:rFonts w:ascii="仿宋_GB2312" w:hAnsi="Times New Roman" w:eastAsia="仿宋_GB2312" w:cs="仿宋_GB2312"/>
          <w:kern w:val="0"/>
          <w:sz w:val="28"/>
          <w:szCs w:val="28"/>
        </w:rPr>
        <w:t>：TOT 模式促使政府角色从传统的 “运动员” 向 “裁判员” 转变。政府不再直接参与设施的日常运营，而是将工作重心放在政策制定、标准规范以及监管工作上。通过加强对项目运营的全方位监督，确保社会资本在运营过程中严格遵守环保要求和公共利益准则，保障农村生活污水治理工作的有序推进。</w:t>
      </w:r>
    </w:p>
    <w:p w14:paraId="5078831D">
      <w:pPr>
        <w:pStyle w:val="6"/>
      </w:pPr>
      <w:r>
        <w:rPr>
          <w:rFonts w:hint="eastAsia"/>
        </w:rPr>
        <w:t>（2）从</w:t>
      </w:r>
      <w:r>
        <w:t>社会资本层面</w:t>
      </w:r>
      <w:r>
        <w:rPr>
          <w:rFonts w:hint="eastAsia"/>
        </w:rPr>
        <w:t>来看</w:t>
      </w:r>
    </w:p>
    <w:p w14:paraId="641622C9">
      <w:pPr>
        <w:widowControl/>
        <w:shd w:val="clear" w:color="auto" w:fill="FFFFFF"/>
        <w:ind w:firstLine="560" w:firstLineChars="200"/>
        <w:jc w:val="left"/>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开拓市场版图：随着农村环保意识的提升和对生活污水治理的重视，农村市场蕴含着巨大的发展潜力。TOT 项目为社会资本打开了农村环保领域的大门，提供了广阔的业务拓展空间。社会资本可以借此机会在农村生活污水治理市场中扎根发展，进一步扩大市场份额，实现多元化的业务布局，提升企业在环保行业的综合竞争力。</w:t>
      </w:r>
    </w:p>
    <w:p w14:paraId="40415601">
      <w:pPr>
        <w:widowControl/>
        <w:shd w:val="clear" w:color="auto" w:fill="FFFFFF"/>
        <w:ind w:firstLine="560" w:firstLineChars="200"/>
        <w:jc w:val="left"/>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实现稳定盈利：尽管农村生活污水治理具有一定的公益属性，但通过科学合理的定价机制和付费模式，社会资本能够在项目运营期内获得稳定的经济回报。比如，政府可以根据实际处理的污水量、服务的农村人口数量等指标，向社会资本支付相应费用，确保项目在经济上具备可行性，为企业创造可持续的盈利来源。</w:t>
      </w:r>
    </w:p>
    <w:p w14:paraId="258D4E2A">
      <w:pPr>
        <w:widowControl/>
        <w:shd w:val="clear" w:color="auto" w:fill="FFFFFF"/>
        <w:ind w:firstLine="560" w:firstLineChars="200"/>
        <w:jc w:val="left"/>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树立企业形象：积极参与农村生活污水治理 TOT 项目，是社会资本履行社会责任的重要体现。这不仅有助于提升企业在环保领域的专业形象和品牌知名度，还能赢得农村居民和社会各界的认可与赞誉。良好的企业形象将为社会资本带来更多的合作机会和发展机遇，进一步巩固其在市场中的地位。</w:t>
      </w:r>
    </w:p>
    <w:p w14:paraId="38FC6704">
      <w:pPr>
        <w:pStyle w:val="6"/>
      </w:pPr>
      <w:r>
        <w:rPr>
          <w:rFonts w:hint="eastAsia"/>
        </w:rPr>
        <w:t>（3）</w:t>
      </w:r>
      <w:r>
        <w:t>农村居民层面</w:t>
      </w:r>
    </w:p>
    <w:p w14:paraId="5DE2CDCE">
      <w:pPr>
        <w:widowControl/>
        <w:shd w:val="clear" w:color="auto" w:fill="FFFFFF"/>
        <w:ind w:firstLine="562" w:firstLineChars="200"/>
        <w:jc w:val="left"/>
        <w:rPr>
          <w:rFonts w:ascii="仿宋_GB2312" w:hAnsi="Times New Roman" w:eastAsia="仿宋_GB2312" w:cs="仿宋_GB2312"/>
          <w:kern w:val="0"/>
          <w:sz w:val="28"/>
          <w:szCs w:val="28"/>
        </w:rPr>
      </w:pPr>
      <w:r>
        <w:rPr>
          <w:rFonts w:ascii="仿宋_GB2312" w:hAnsi="Times New Roman" w:eastAsia="仿宋_GB2312" w:cs="仿宋_GB2312"/>
          <w:b/>
          <w:kern w:val="0"/>
          <w:sz w:val="28"/>
          <w:szCs w:val="28"/>
        </w:rPr>
        <w:t>保障设施长效运行</w:t>
      </w:r>
      <w:r>
        <w:rPr>
          <w:rFonts w:ascii="仿宋_GB2312" w:hAnsi="Times New Roman" w:eastAsia="仿宋_GB2312" w:cs="仿宋_GB2312"/>
          <w:kern w:val="0"/>
          <w:sz w:val="28"/>
          <w:szCs w:val="28"/>
        </w:rPr>
        <w:t>：以往，由于缺乏专业的运营管理，农村生活污水治理设施可能存在运行不稳定、处理效果不佳等问题。TOT 项目引入专业的社会资本后，凭借其丰富的运营经验和专业技术，能够确保污水治理设施长期稳定运行，持续有效地处理农村生活污水，减少污水对农村环境的污染，为农村居民创造一个更加清洁、健康的生活环境。</w:t>
      </w:r>
    </w:p>
    <w:p w14:paraId="60FE34BF">
      <w:pPr>
        <w:widowControl/>
        <w:shd w:val="clear" w:color="auto" w:fill="FFFFFF"/>
        <w:ind w:firstLine="562" w:firstLineChars="200"/>
        <w:jc w:val="left"/>
        <w:rPr>
          <w:rFonts w:ascii="仿宋_GB2312" w:hAnsi="Times New Roman" w:eastAsia="仿宋_GB2312" w:cs="仿宋_GB2312"/>
          <w:kern w:val="0"/>
          <w:sz w:val="28"/>
          <w:szCs w:val="28"/>
        </w:rPr>
      </w:pPr>
      <w:r>
        <w:rPr>
          <w:rFonts w:ascii="仿宋_GB2312" w:hAnsi="Times New Roman" w:eastAsia="仿宋_GB2312" w:cs="仿宋_GB2312"/>
          <w:b/>
          <w:kern w:val="0"/>
          <w:sz w:val="28"/>
          <w:szCs w:val="28"/>
        </w:rPr>
        <w:t>提升服务体验质量</w:t>
      </w:r>
      <w:r>
        <w:rPr>
          <w:rFonts w:ascii="仿宋_GB2312" w:hAnsi="Times New Roman" w:eastAsia="仿宋_GB2312" w:cs="仿宋_GB2312"/>
          <w:kern w:val="0"/>
          <w:sz w:val="28"/>
          <w:szCs w:val="28"/>
        </w:rPr>
        <w:t>：社会资本为了在市场竞争中脱颖而出，会不断投入资源提升服务质量。他们会采用先进的服务理念和技术手段，优化服务流程，提高服务响应速度。农村居民能够享受到更加便捷、高效的污水治理服务，切实感受到生活质量的提升，增强对生活的幸福感和满意度。</w:t>
      </w:r>
    </w:p>
    <w:p w14:paraId="133A6638">
      <w:pPr>
        <w:pStyle w:val="6"/>
      </w:pPr>
      <w:r>
        <w:rPr>
          <w:rFonts w:hint="eastAsia"/>
        </w:rPr>
        <w:t>（4）</w:t>
      </w:r>
      <w:r>
        <w:t>生态环境层面</w:t>
      </w:r>
    </w:p>
    <w:p w14:paraId="66C3344A">
      <w:pPr>
        <w:widowControl/>
        <w:shd w:val="clear" w:color="auto" w:fill="FFFFFF"/>
        <w:ind w:firstLine="560" w:firstLineChars="200"/>
        <w:jc w:val="left"/>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促进生态持续改善：稳定且高效运行的农村生活污水治理设施，是减少污染物排放的关键。通过 TOT 项目，确保设施能够持续有效地去除污水中的有害物质，降低对土壤、水体和空气的污染风险，保护农村生态系统的平衡与稳定。这有助于改善农村的生态环境质量，为野生动植物提供适宜的生存空间，促进生态系统的良性循环。</w:t>
      </w:r>
    </w:p>
    <w:p w14:paraId="69B9F610">
      <w:pPr>
        <w:widowControl/>
        <w:shd w:val="clear" w:color="auto" w:fill="FFFFFF"/>
        <w:ind w:firstLine="560" w:firstLineChars="200"/>
        <w:jc w:val="left"/>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助力乡村绿色发展：良好的生态环境是农村实现可持续发展的重要基石。TOT 项目保障了农村生活污水的有效治理，为农村地区的绿色发展奠定了坚实基础。在保护生态环境的同时，也为农村特色产业的发展创造了有利条件，如生态农业、乡村旅游等。通过生态与经济的协同发展，推动乡村振兴战略的深入实施，实现农村经济与生态环境的双赢局面。</w:t>
      </w:r>
    </w:p>
    <w:p w14:paraId="1C5557C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综上所述，本项目在功能和定位上体现了整合、协同、创新、环保等特点，旨在实现</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农村生活</w:t>
      </w:r>
      <w:r>
        <w:rPr>
          <w:rFonts w:ascii="Times New Roman Regular" w:hAnsi="Times New Roman Regular" w:eastAsia="仿宋_GB2312" w:cs="Times New Roman Regular"/>
          <w:color w:val="000000" w:themeColor="text1"/>
          <w:sz w:val="28"/>
          <w:szCs w:val="28"/>
          <w14:textFill>
            <w14:solidFill>
              <w14:schemeClr w14:val="tx1"/>
            </w14:solidFill>
          </w14:textFill>
        </w:rPr>
        <w:t>污水</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治理</w:t>
      </w:r>
      <w:r>
        <w:rPr>
          <w:rFonts w:ascii="Times New Roman Regular" w:hAnsi="Times New Roman Regular" w:eastAsia="仿宋_GB2312" w:cs="Times New Roman Regular"/>
          <w:color w:val="000000" w:themeColor="text1"/>
          <w:sz w:val="28"/>
          <w:szCs w:val="28"/>
          <w14:textFill>
            <w14:solidFill>
              <w14:schemeClr w14:val="tx1"/>
            </w14:solidFill>
          </w14:textFill>
        </w:rPr>
        <w:t>设施的高效运作，提升</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农村生态</w:t>
      </w:r>
      <w:r>
        <w:rPr>
          <w:rFonts w:ascii="Times New Roman Regular" w:hAnsi="Times New Roman Regular" w:eastAsia="仿宋_GB2312" w:cs="Times New Roman Regular"/>
          <w:color w:val="000000" w:themeColor="text1"/>
          <w:sz w:val="28"/>
          <w:szCs w:val="28"/>
          <w14:textFill>
            <w14:solidFill>
              <w14:schemeClr w14:val="tx1"/>
            </w14:solidFill>
          </w14:textFill>
        </w:rPr>
        <w:t>环境质量，推动湘桥区环保事业高质量发展。</w:t>
      </w:r>
    </w:p>
    <w:p w14:paraId="1115EFF3">
      <w:pPr>
        <w:pStyle w:val="5"/>
      </w:pPr>
      <w:bookmarkStart w:id="17" w:name="_Toc28979"/>
      <w:bookmarkStart w:id="18" w:name="_Toc27320"/>
      <w:r>
        <w:t>4、项目地点</w:t>
      </w:r>
      <w:bookmarkEnd w:id="17"/>
      <w:bookmarkEnd w:id="18"/>
      <w:r>
        <w:rPr>
          <w:rFonts w:hint="eastAsia"/>
        </w:rPr>
        <w:t>、内容、规模及主要技术经济指标</w:t>
      </w:r>
    </w:p>
    <w:p w14:paraId="11A2F1A8">
      <w:pPr>
        <w:pStyle w:val="43"/>
        <w:adjustRightInd w:val="0"/>
        <w:spacing w:beforeLines="0" w:afterLines="0" w:line="360" w:lineRule="auto"/>
        <w:rPr>
          <w:rFonts w:ascii="宋体" w:hAnsi="宋体" w:cs="仿宋_GB2312"/>
          <w:szCs w:val="28"/>
        </w:rPr>
      </w:pPr>
      <w:r>
        <w:rPr>
          <w:rFonts w:ascii="Times New Roman Regular" w:hAnsi="Times New Roman Regular" w:eastAsia="仿宋_GB2312" w:cs="Times New Roman Regular"/>
          <w:color w:val="000000" w:themeColor="text1"/>
          <w:szCs w:val="28"/>
          <w14:textFill>
            <w14:solidFill>
              <w14:schemeClr w14:val="tx1"/>
            </w14:solidFill>
          </w14:textFill>
        </w:rPr>
        <w:t>本项目拟将</w:t>
      </w:r>
      <w:r>
        <w:rPr>
          <w:rFonts w:hint="eastAsia" w:ascii="Times New Roman Regular" w:hAnsi="Times New Roman Regular" w:eastAsia="仿宋_GB2312" w:cs="Times New Roman Regular"/>
          <w:color w:val="000000" w:themeColor="text1"/>
          <w:szCs w:val="28"/>
          <w14:textFill>
            <w14:solidFill>
              <w14:schemeClr w14:val="tx1"/>
            </w14:solidFill>
          </w14:textFill>
        </w:rPr>
        <w:t>湘桥区</w:t>
      </w:r>
      <w:r>
        <w:rPr>
          <w:rFonts w:ascii="Times New Roman Regular" w:hAnsi="Times New Roman Regular" w:eastAsia="仿宋_GB2312" w:cs="Times New Roman Regular"/>
          <w:color w:val="000000" w:themeColor="text1"/>
          <w:szCs w:val="28"/>
          <w14:textFill>
            <w14:solidFill>
              <w14:schemeClr w14:val="tx1"/>
            </w14:solidFill>
          </w14:textFill>
        </w:rPr>
        <w:t>52</w:t>
      </w:r>
      <w:r>
        <w:rPr>
          <w:rFonts w:hint="eastAsia" w:ascii="Times New Roman Regular" w:hAnsi="Times New Roman Regular" w:eastAsia="仿宋_GB2312" w:cs="Times New Roman Regular"/>
          <w:color w:val="000000" w:themeColor="text1"/>
          <w:szCs w:val="28"/>
          <w14:textFill>
            <w14:solidFill>
              <w14:schemeClr w14:val="tx1"/>
            </w14:solidFill>
          </w14:textFill>
        </w:rPr>
        <w:t>个</w:t>
      </w:r>
      <w:r>
        <w:rPr>
          <w:rFonts w:ascii="Times New Roman Regular" w:hAnsi="Times New Roman Regular" w:eastAsia="仿宋_GB2312" w:cs="Times New Roman Regular"/>
          <w:color w:val="000000" w:themeColor="text1"/>
          <w:szCs w:val="28"/>
          <w14:textFill>
            <w14:solidFill>
              <w14:schemeClr w14:val="tx1"/>
            </w14:solidFill>
          </w14:textFill>
        </w:rPr>
        <w:t>自然村的农村污水治理设施（以政府确定的子项为准，后续可根据情况进行调整）纳入TOT特许经营范围，地点位于潮州市湘桥区意溪镇、磷溪镇、铁铺镇、官塘镇和</w:t>
      </w:r>
      <w:r>
        <w:rPr>
          <w:rFonts w:hint="eastAsia" w:ascii="Times New Roman Regular" w:hAnsi="Times New Roman Regular" w:eastAsia="仿宋_GB2312" w:cs="Times New Roman Regular"/>
          <w:color w:val="000000" w:themeColor="text1"/>
          <w:szCs w:val="28"/>
          <w14:textFill>
            <w14:solidFill>
              <w14:schemeClr w14:val="tx1"/>
            </w14:solidFill>
          </w14:textFill>
        </w:rPr>
        <w:t>桥东街道</w:t>
      </w:r>
      <w:r>
        <w:rPr>
          <w:rFonts w:ascii="Times New Roman Regular" w:hAnsi="Times New Roman Regular" w:eastAsia="仿宋_GB2312" w:cs="Times New Roman Regular"/>
          <w:color w:val="000000" w:themeColor="text1"/>
          <w:szCs w:val="28"/>
          <w14:textFill>
            <w14:solidFill>
              <w14:schemeClr w14:val="tx1"/>
            </w14:solidFill>
          </w14:textFill>
        </w:rPr>
        <w:t>。</w:t>
      </w:r>
      <w:r>
        <w:rPr>
          <w:rFonts w:hint="eastAsia" w:ascii="Times New Roman Regular" w:hAnsi="Times New Roman Regular" w:eastAsia="仿宋_GB2312" w:cs="Times New Roman Regular"/>
          <w:color w:val="000000" w:themeColor="text1"/>
          <w:szCs w:val="28"/>
          <w14:textFill>
            <w14:solidFill>
              <w14:schemeClr w14:val="tx1"/>
            </w14:solidFill>
          </w14:textFill>
        </w:rPr>
        <w:t>其中，纳入城镇污水处理厂处理的村</w:t>
      </w:r>
      <w:r>
        <w:rPr>
          <w:rFonts w:ascii="Times New Roman Regular" w:hAnsi="Times New Roman Regular" w:eastAsia="仿宋_GB2312" w:cs="Times New Roman Regular"/>
          <w:color w:val="000000" w:themeColor="text1"/>
          <w:szCs w:val="28"/>
          <w14:textFill>
            <w14:solidFill>
              <w14:schemeClr w14:val="tx1"/>
            </w14:solidFill>
          </w14:textFill>
        </w:rPr>
        <w:t>29</w:t>
      </w:r>
      <w:r>
        <w:rPr>
          <w:rFonts w:hint="eastAsia" w:ascii="Times New Roman Regular" w:hAnsi="Times New Roman Regular" w:eastAsia="仿宋_GB2312" w:cs="Times New Roman Regular"/>
          <w:color w:val="000000" w:themeColor="text1"/>
          <w:szCs w:val="28"/>
          <w14:textFill>
            <w14:solidFill>
              <w14:schemeClr w14:val="tx1"/>
            </w14:solidFill>
          </w14:textFill>
        </w:rPr>
        <w:t>个，资源化利用的村1</w:t>
      </w:r>
      <w:r>
        <w:rPr>
          <w:rFonts w:ascii="Times New Roman Regular" w:hAnsi="Times New Roman Regular" w:eastAsia="仿宋_GB2312" w:cs="Times New Roman Regular"/>
          <w:color w:val="000000" w:themeColor="text1"/>
          <w:szCs w:val="28"/>
          <w14:textFill>
            <w14:solidFill>
              <w14:schemeClr w14:val="tx1"/>
            </w14:solidFill>
          </w14:textFill>
        </w:rPr>
        <w:t>3</w:t>
      </w:r>
      <w:r>
        <w:rPr>
          <w:rFonts w:hint="eastAsia" w:ascii="Times New Roman Regular" w:hAnsi="Times New Roman Regular" w:eastAsia="仿宋_GB2312" w:cs="Times New Roman Regular"/>
          <w:color w:val="000000" w:themeColor="text1"/>
          <w:szCs w:val="28"/>
          <w14:textFill>
            <w14:solidFill>
              <w14:schemeClr w14:val="tx1"/>
            </w14:solidFill>
          </w14:textFill>
        </w:rPr>
        <w:t>个，人工湿地处理设施9座</w:t>
      </w:r>
      <w:r>
        <w:rPr>
          <w:rFonts w:ascii="Times New Roman Regular" w:hAnsi="Times New Roman Regular" w:eastAsia="仿宋_GB2312" w:cs="Times New Roman Regular"/>
          <w:color w:val="000000" w:themeColor="text1"/>
          <w:szCs w:val="28"/>
          <w14:textFill>
            <w14:solidFill>
              <w14:schemeClr w14:val="tx1"/>
            </w14:solidFill>
          </w14:textFill>
        </w:rPr>
        <w:t>,</w:t>
      </w:r>
      <w:r>
        <w:rPr>
          <w:rFonts w:hint="eastAsia" w:ascii="Times New Roman Regular" w:hAnsi="Times New Roman Regular" w:eastAsia="仿宋_GB2312" w:cs="Times New Roman Regular"/>
          <w:color w:val="000000" w:themeColor="text1"/>
          <w:szCs w:val="28"/>
          <w14:textFill>
            <w14:solidFill>
              <w14:schemeClr w14:val="tx1"/>
            </w14:solidFill>
          </w14:textFill>
        </w:rPr>
        <w:t>一体化设施1座，配套管渠长度合计约4</w:t>
      </w:r>
      <w:r>
        <w:rPr>
          <w:rFonts w:ascii="Times New Roman Regular" w:hAnsi="Times New Roman Regular" w:eastAsia="仿宋_GB2312" w:cs="Times New Roman Regular"/>
          <w:color w:val="000000" w:themeColor="text1"/>
          <w:szCs w:val="28"/>
          <w14:textFill>
            <w14:solidFill>
              <w14:schemeClr w14:val="tx1"/>
            </w14:solidFill>
          </w14:textFill>
        </w:rPr>
        <w:t>5km</w:t>
      </w:r>
      <w:r>
        <w:rPr>
          <w:rFonts w:hint="eastAsia" w:ascii="Times New Roman Regular" w:hAnsi="Times New Roman Regular" w:eastAsia="仿宋_GB2312" w:cs="Times New Roman Regular"/>
          <w:color w:val="000000" w:themeColor="text1"/>
          <w:szCs w:val="28"/>
          <w14:textFill>
            <w14:solidFill>
              <w14:schemeClr w14:val="tx1"/>
            </w14:solidFill>
          </w14:textFill>
        </w:rPr>
        <w:t>，</w:t>
      </w:r>
      <w:r>
        <w:rPr>
          <w:rFonts w:ascii="Times New Roman Regular" w:hAnsi="Times New Roman Regular" w:eastAsia="仿宋_GB2312" w:cs="Times New Roman Regular"/>
          <w:color w:val="000000" w:themeColor="text1"/>
          <w:szCs w:val="28"/>
          <w14:textFill>
            <w14:solidFill>
              <w14:schemeClr w14:val="tx1"/>
            </w14:solidFill>
          </w14:textFill>
        </w:rPr>
        <w:t>规模明细及主要技术经济指标见下表：</w:t>
      </w:r>
    </w:p>
    <w:p w14:paraId="331D6C3C">
      <w:pPr>
        <w:pStyle w:val="17"/>
        <w:widowControl/>
        <w:shd w:val="clear" w:color="auto" w:fill="FFFFFF"/>
        <w:spacing w:beforeAutospacing="0" w:afterAutospacing="0"/>
        <w:ind w:firstLine="562" w:firstLineChars="200"/>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表1-1 湘桥区街道项目实施内容</w:t>
      </w:r>
    </w:p>
    <w:tbl>
      <w:tblPr>
        <w:tblStyle w:val="18"/>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783"/>
        <w:gridCol w:w="1427"/>
        <w:gridCol w:w="892"/>
        <w:gridCol w:w="892"/>
        <w:gridCol w:w="1099"/>
        <w:gridCol w:w="1079"/>
        <w:gridCol w:w="948"/>
        <w:gridCol w:w="1076"/>
      </w:tblGrid>
      <w:tr w14:paraId="28B2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97" w:type="dxa"/>
            <w:shd w:val="clear" w:color="auto" w:fill="auto"/>
            <w:noWrap/>
            <w:vAlign w:val="center"/>
          </w:tcPr>
          <w:p w14:paraId="5F576ABD">
            <w:pPr>
              <w:widowControl/>
              <w:ind w:left="-437" w:leftChars="-208" w:right="-353" w:rightChars="-168" w:firstLine="179" w:firstLineChars="85"/>
              <w:jc w:val="left"/>
              <w:rPr>
                <w:rFonts w:ascii="仿宋" w:hAnsi="仿宋" w:eastAsia="仿宋" w:cs="宋体"/>
                <w:b/>
                <w:bCs/>
                <w:kern w:val="0"/>
                <w:szCs w:val="21"/>
              </w:rPr>
            </w:pPr>
            <w:r>
              <w:rPr>
                <w:rFonts w:hint="eastAsia" w:ascii="仿宋" w:hAnsi="仿宋" w:eastAsia="仿宋" w:cs="宋体"/>
                <w:b/>
                <w:bCs/>
                <w:kern w:val="0"/>
                <w:szCs w:val="21"/>
              </w:rPr>
              <w:t>　序号</w:t>
            </w:r>
          </w:p>
        </w:tc>
        <w:tc>
          <w:tcPr>
            <w:tcW w:w="783" w:type="dxa"/>
            <w:shd w:val="clear" w:color="auto" w:fill="auto"/>
            <w:vAlign w:val="center"/>
          </w:tcPr>
          <w:p w14:paraId="37A6BF5C">
            <w:pPr>
              <w:widowControl/>
              <w:jc w:val="center"/>
              <w:rPr>
                <w:rFonts w:ascii="仿宋" w:hAnsi="仿宋" w:eastAsia="仿宋" w:cs="宋体"/>
                <w:b/>
                <w:bCs/>
                <w:kern w:val="0"/>
                <w:szCs w:val="21"/>
              </w:rPr>
            </w:pPr>
            <w:r>
              <w:rPr>
                <w:rFonts w:hint="eastAsia" w:ascii="仿宋" w:hAnsi="仿宋" w:eastAsia="仿宋" w:cs="宋体"/>
                <w:b/>
                <w:bCs/>
                <w:kern w:val="0"/>
                <w:szCs w:val="21"/>
              </w:rPr>
              <w:t>镇</w:t>
            </w:r>
          </w:p>
        </w:tc>
        <w:tc>
          <w:tcPr>
            <w:tcW w:w="1427" w:type="dxa"/>
            <w:shd w:val="clear" w:color="auto" w:fill="auto"/>
            <w:vAlign w:val="center"/>
          </w:tcPr>
          <w:p w14:paraId="1307F914">
            <w:pPr>
              <w:widowControl/>
              <w:jc w:val="center"/>
              <w:rPr>
                <w:rFonts w:ascii="仿宋" w:hAnsi="仿宋" w:eastAsia="仿宋" w:cs="宋体"/>
                <w:b/>
                <w:bCs/>
                <w:kern w:val="0"/>
                <w:szCs w:val="21"/>
              </w:rPr>
            </w:pPr>
            <w:r>
              <w:rPr>
                <w:rFonts w:hint="eastAsia" w:ascii="仿宋" w:hAnsi="仿宋" w:eastAsia="仿宋" w:cs="宋体"/>
                <w:b/>
                <w:bCs/>
                <w:kern w:val="0"/>
                <w:szCs w:val="21"/>
              </w:rPr>
              <w:t>行政村</w:t>
            </w:r>
          </w:p>
        </w:tc>
        <w:tc>
          <w:tcPr>
            <w:tcW w:w="892" w:type="dxa"/>
            <w:shd w:val="clear" w:color="auto" w:fill="auto"/>
            <w:vAlign w:val="center"/>
          </w:tcPr>
          <w:p w14:paraId="33EB20C6">
            <w:pPr>
              <w:widowControl/>
              <w:jc w:val="center"/>
              <w:rPr>
                <w:rFonts w:ascii="仿宋" w:hAnsi="仿宋" w:eastAsia="仿宋" w:cs="宋体"/>
                <w:b/>
                <w:bCs/>
                <w:kern w:val="0"/>
                <w:szCs w:val="21"/>
              </w:rPr>
            </w:pPr>
            <w:r>
              <w:rPr>
                <w:rFonts w:hint="eastAsia" w:ascii="仿宋" w:hAnsi="仿宋" w:eastAsia="仿宋" w:cs="宋体"/>
                <w:b/>
                <w:bCs/>
                <w:kern w:val="0"/>
                <w:szCs w:val="21"/>
              </w:rPr>
              <w:t>自然村</w:t>
            </w:r>
          </w:p>
        </w:tc>
        <w:tc>
          <w:tcPr>
            <w:tcW w:w="892" w:type="dxa"/>
            <w:shd w:val="clear" w:color="auto" w:fill="auto"/>
            <w:vAlign w:val="center"/>
          </w:tcPr>
          <w:p w14:paraId="5E5521B9">
            <w:pPr>
              <w:widowControl/>
              <w:jc w:val="center"/>
              <w:rPr>
                <w:rFonts w:ascii="仿宋" w:hAnsi="仿宋" w:eastAsia="仿宋" w:cs="宋体"/>
                <w:b/>
                <w:bCs/>
                <w:kern w:val="0"/>
                <w:szCs w:val="21"/>
              </w:rPr>
            </w:pPr>
            <w:r>
              <w:rPr>
                <w:rFonts w:hint="eastAsia" w:ascii="仿宋" w:hAnsi="仿宋" w:eastAsia="仿宋" w:cs="宋体"/>
                <w:b/>
                <w:bCs/>
                <w:kern w:val="0"/>
                <w:szCs w:val="21"/>
              </w:rPr>
              <w:t>常住人口</w:t>
            </w:r>
          </w:p>
        </w:tc>
        <w:tc>
          <w:tcPr>
            <w:tcW w:w="1099" w:type="dxa"/>
            <w:shd w:val="clear" w:color="auto" w:fill="auto"/>
            <w:vAlign w:val="center"/>
          </w:tcPr>
          <w:p w14:paraId="02FB8F3A">
            <w:pPr>
              <w:widowControl/>
              <w:jc w:val="center"/>
              <w:rPr>
                <w:rFonts w:ascii="仿宋" w:hAnsi="仿宋" w:eastAsia="仿宋" w:cs="宋体"/>
                <w:b/>
                <w:bCs/>
                <w:kern w:val="0"/>
                <w:szCs w:val="21"/>
              </w:rPr>
            </w:pPr>
            <w:r>
              <w:rPr>
                <w:rFonts w:hint="eastAsia" w:ascii="仿宋" w:hAnsi="仿宋" w:eastAsia="仿宋" w:cs="宋体"/>
                <w:b/>
                <w:bCs/>
                <w:kern w:val="0"/>
                <w:szCs w:val="21"/>
              </w:rPr>
              <w:t>设施类型</w:t>
            </w:r>
          </w:p>
        </w:tc>
        <w:tc>
          <w:tcPr>
            <w:tcW w:w="1079" w:type="dxa"/>
            <w:shd w:val="clear" w:color="auto" w:fill="auto"/>
            <w:vAlign w:val="center"/>
          </w:tcPr>
          <w:p w14:paraId="07B24F75">
            <w:pPr>
              <w:widowControl/>
              <w:jc w:val="center"/>
              <w:rPr>
                <w:rFonts w:ascii="仿宋" w:hAnsi="仿宋" w:eastAsia="仿宋" w:cs="宋体"/>
                <w:b/>
                <w:bCs/>
                <w:kern w:val="0"/>
                <w:szCs w:val="21"/>
              </w:rPr>
            </w:pPr>
            <w:r>
              <w:rPr>
                <w:rFonts w:hint="eastAsia" w:ascii="仿宋" w:hAnsi="仿宋" w:eastAsia="仿宋" w:cs="宋体"/>
                <w:b/>
                <w:bCs/>
                <w:kern w:val="0"/>
                <w:szCs w:val="21"/>
              </w:rPr>
              <w:t>设施规模（t/d）</w:t>
            </w:r>
          </w:p>
        </w:tc>
        <w:tc>
          <w:tcPr>
            <w:tcW w:w="948" w:type="dxa"/>
            <w:shd w:val="clear" w:color="auto" w:fill="auto"/>
            <w:noWrap/>
            <w:vAlign w:val="center"/>
          </w:tcPr>
          <w:p w14:paraId="5E9EF580">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管网（米）</w:t>
            </w:r>
          </w:p>
        </w:tc>
        <w:tc>
          <w:tcPr>
            <w:tcW w:w="1076" w:type="dxa"/>
            <w:shd w:val="clear" w:color="auto" w:fill="auto"/>
            <w:noWrap/>
            <w:vAlign w:val="center"/>
          </w:tcPr>
          <w:p w14:paraId="133D109A">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明渠暗化（m）</w:t>
            </w:r>
          </w:p>
        </w:tc>
      </w:tr>
      <w:tr w14:paraId="4C8F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66735B6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3" w:type="dxa"/>
            <w:vMerge w:val="restart"/>
            <w:shd w:val="clear" w:color="auto" w:fill="auto"/>
            <w:vAlign w:val="center"/>
          </w:tcPr>
          <w:p w14:paraId="7285D43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意溪镇</w:t>
            </w:r>
          </w:p>
        </w:tc>
        <w:tc>
          <w:tcPr>
            <w:tcW w:w="1427" w:type="dxa"/>
            <w:vMerge w:val="restart"/>
            <w:shd w:val="clear" w:color="auto" w:fill="auto"/>
            <w:vAlign w:val="center"/>
          </w:tcPr>
          <w:p w14:paraId="132BD18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上津村民委员会</w:t>
            </w:r>
          </w:p>
        </w:tc>
        <w:tc>
          <w:tcPr>
            <w:tcW w:w="892" w:type="dxa"/>
            <w:shd w:val="clear" w:color="auto" w:fill="auto"/>
            <w:vAlign w:val="center"/>
          </w:tcPr>
          <w:p w14:paraId="1311BF5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向西</w:t>
            </w:r>
          </w:p>
        </w:tc>
        <w:tc>
          <w:tcPr>
            <w:tcW w:w="892" w:type="dxa"/>
            <w:shd w:val="clear" w:color="auto" w:fill="auto"/>
            <w:noWrap/>
            <w:vAlign w:val="center"/>
          </w:tcPr>
          <w:p w14:paraId="2AE67F9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950</w:t>
            </w:r>
          </w:p>
        </w:tc>
        <w:tc>
          <w:tcPr>
            <w:tcW w:w="1099" w:type="dxa"/>
            <w:shd w:val="clear" w:color="auto" w:fill="auto"/>
            <w:vAlign w:val="center"/>
          </w:tcPr>
          <w:p w14:paraId="67BA926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7B8FA0F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restart"/>
            <w:shd w:val="clear" w:color="auto" w:fill="auto"/>
            <w:noWrap/>
            <w:vAlign w:val="center"/>
          </w:tcPr>
          <w:p w14:paraId="501EB689">
            <w:pPr>
              <w:widowControl/>
              <w:jc w:val="center"/>
              <w:rPr>
                <w:rFonts w:ascii="宋体" w:hAnsi="宋体" w:cs="宋体"/>
                <w:kern w:val="0"/>
                <w:szCs w:val="21"/>
              </w:rPr>
            </w:pPr>
            <w:r>
              <w:rPr>
                <w:rFonts w:hint="eastAsia" w:ascii="宋体" w:hAnsi="宋体" w:cs="宋体"/>
                <w:kern w:val="0"/>
                <w:szCs w:val="21"/>
              </w:rPr>
              <w:t>0</w:t>
            </w:r>
          </w:p>
        </w:tc>
        <w:tc>
          <w:tcPr>
            <w:tcW w:w="1076" w:type="dxa"/>
            <w:shd w:val="clear" w:color="auto" w:fill="auto"/>
            <w:noWrap/>
            <w:vAlign w:val="center"/>
          </w:tcPr>
          <w:p w14:paraId="454D9663">
            <w:pPr>
              <w:widowControl/>
              <w:jc w:val="center"/>
              <w:rPr>
                <w:rFonts w:ascii="宋体" w:hAnsi="宋体" w:cs="宋体"/>
                <w:kern w:val="0"/>
                <w:szCs w:val="21"/>
              </w:rPr>
            </w:pPr>
            <w:r>
              <w:rPr>
                <w:rFonts w:hint="eastAsia" w:ascii="宋体" w:hAnsi="宋体" w:cs="宋体"/>
                <w:kern w:val="0"/>
                <w:szCs w:val="21"/>
              </w:rPr>
              <w:t>　</w:t>
            </w:r>
          </w:p>
        </w:tc>
      </w:tr>
      <w:tr w14:paraId="15C1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2BE5A91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783" w:type="dxa"/>
            <w:vMerge w:val="continue"/>
            <w:shd w:val="clear" w:color="auto" w:fill="auto"/>
            <w:vAlign w:val="center"/>
          </w:tcPr>
          <w:p w14:paraId="2495D74A">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2371013C">
            <w:pPr>
              <w:jc w:val="center"/>
              <w:rPr>
                <w:rFonts w:ascii="仿宋" w:hAnsi="仿宋" w:eastAsia="仿宋" w:cs="宋体"/>
                <w:color w:val="000000"/>
                <w:kern w:val="0"/>
                <w:szCs w:val="21"/>
              </w:rPr>
            </w:pPr>
          </w:p>
        </w:tc>
        <w:tc>
          <w:tcPr>
            <w:tcW w:w="892" w:type="dxa"/>
            <w:shd w:val="clear" w:color="auto" w:fill="auto"/>
            <w:vAlign w:val="center"/>
          </w:tcPr>
          <w:p w14:paraId="41491BF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向北</w:t>
            </w:r>
          </w:p>
        </w:tc>
        <w:tc>
          <w:tcPr>
            <w:tcW w:w="892" w:type="dxa"/>
            <w:shd w:val="clear" w:color="auto" w:fill="auto"/>
            <w:noWrap/>
            <w:vAlign w:val="center"/>
          </w:tcPr>
          <w:p w14:paraId="2CC36D7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900</w:t>
            </w:r>
          </w:p>
        </w:tc>
        <w:tc>
          <w:tcPr>
            <w:tcW w:w="1099" w:type="dxa"/>
            <w:shd w:val="clear" w:color="auto" w:fill="auto"/>
            <w:vAlign w:val="center"/>
          </w:tcPr>
          <w:p w14:paraId="604A21D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1700881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0A711460">
            <w:pPr>
              <w:widowControl/>
              <w:jc w:val="left"/>
              <w:rPr>
                <w:rFonts w:ascii="宋体" w:hAnsi="宋体" w:cs="宋体"/>
                <w:kern w:val="0"/>
                <w:szCs w:val="21"/>
              </w:rPr>
            </w:pPr>
          </w:p>
        </w:tc>
        <w:tc>
          <w:tcPr>
            <w:tcW w:w="1076" w:type="dxa"/>
            <w:shd w:val="clear" w:color="auto" w:fill="auto"/>
            <w:noWrap/>
            <w:vAlign w:val="center"/>
          </w:tcPr>
          <w:p w14:paraId="2F2767B0">
            <w:pPr>
              <w:widowControl/>
              <w:jc w:val="center"/>
              <w:rPr>
                <w:rFonts w:ascii="宋体" w:hAnsi="宋体" w:cs="宋体"/>
                <w:kern w:val="0"/>
                <w:szCs w:val="21"/>
              </w:rPr>
            </w:pPr>
            <w:r>
              <w:rPr>
                <w:rFonts w:hint="eastAsia" w:ascii="宋体" w:hAnsi="宋体" w:cs="宋体"/>
                <w:kern w:val="0"/>
                <w:szCs w:val="21"/>
              </w:rPr>
              <w:t>　</w:t>
            </w:r>
          </w:p>
        </w:tc>
      </w:tr>
      <w:tr w14:paraId="4A5D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418A901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3" w:type="dxa"/>
            <w:vMerge w:val="continue"/>
            <w:shd w:val="clear" w:color="auto" w:fill="auto"/>
            <w:vAlign w:val="center"/>
          </w:tcPr>
          <w:p w14:paraId="7BC61372">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78E507DA">
            <w:pPr>
              <w:widowControl/>
              <w:jc w:val="center"/>
              <w:rPr>
                <w:rFonts w:ascii="仿宋" w:hAnsi="仿宋" w:eastAsia="仿宋" w:cs="宋体"/>
                <w:color w:val="000000"/>
                <w:kern w:val="0"/>
                <w:szCs w:val="21"/>
              </w:rPr>
            </w:pPr>
          </w:p>
        </w:tc>
        <w:tc>
          <w:tcPr>
            <w:tcW w:w="892" w:type="dxa"/>
            <w:shd w:val="clear" w:color="auto" w:fill="auto"/>
            <w:vAlign w:val="center"/>
          </w:tcPr>
          <w:p w14:paraId="056B37C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江厝</w:t>
            </w:r>
          </w:p>
        </w:tc>
        <w:tc>
          <w:tcPr>
            <w:tcW w:w="892" w:type="dxa"/>
            <w:shd w:val="clear" w:color="auto" w:fill="auto"/>
            <w:noWrap/>
            <w:vAlign w:val="center"/>
          </w:tcPr>
          <w:p w14:paraId="7D46767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730</w:t>
            </w:r>
          </w:p>
        </w:tc>
        <w:tc>
          <w:tcPr>
            <w:tcW w:w="1099" w:type="dxa"/>
            <w:shd w:val="clear" w:color="auto" w:fill="auto"/>
            <w:vAlign w:val="center"/>
          </w:tcPr>
          <w:p w14:paraId="133BE2D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7B7B092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3A1A36D1">
            <w:pPr>
              <w:widowControl/>
              <w:jc w:val="left"/>
              <w:rPr>
                <w:rFonts w:ascii="宋体" w:hAnsi="宋体" w:cs="宋体"/>
                <w:kern w:val="0"/>
                <w:szCs w:val="21"/>
              </w:rPr>
            </w:pPr>
          </w:p>
        </w:tc>
        <w:tc>
          <w:tcPr>
            <w:tcW w:w="1076" w:type="dxa"/>
            <w:shd w:val="clear" w:color="auto" w:fill="auto"/>
            <w:noWrap/>
            <w:vAlign w:val="center"/>
          </w:tcPr>
          <w:p w14:paraId="1AB5C546">
            <w:pPr>
              <w:widowControl/>
              <w:jc w:val="center"/>
              <w:rPr>
                <w:rFonts w:ascii="宋体" w:hAnsi="宋体" w:cs="宋体"/>
                <w:kern w:val="0"/>
                <w:szCs w:val="21"/>
              </w:rPr>
            </w:pPr>
            <w:r>
              <w:rPr>
                <w:rFonts w:hint="eastAsia" w:ascii="宋体" w:hAnsi="宋体" w:cs="宋体"/>
                <w:kern w:val="0"/>
                <w:szCs w:val="21"/>
              </w:rPr>
              <w:t>　</w:t>
            </w:r>
          </w:p>
        </w:tc>
      </w:tr>
      <w:tr w14:paraId="2C44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0940DA5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3" w:type="dxa"/>
            <w:vMerge w:val="continue"/>
            <w:shd w:val="clear" w:color="auto" w:fill="auto"/>
            <w:vAlign w:val="center"/>
          </w:tcPr>
          <w:p w14:paraId="18048044">
            <w:pPr>
              <w:widowControl/>
              <w:jc w:val="left"/>
              <w:rPr>
                <w:rFonts w:ascii="仿宋" w:hAnsi="仿宋" w:eastAsia="仿宋" w:cs="宋体"/>
                <w:color w:val="000000"/>
                <w:kern w:val="0"/>
                <w:szCs w:val="21"/>
              </w:rPr>
            </w:pPr>
          </w:p>
        </w:tc>
        <w:tc>
          <w:tcPr>
            <w:tcW w:w="1427" w:type="dxa"/>
            <w:shd w:val="clear" w:color="auto" w:fill="auto"/>
            <w:vAlign w:val="center"/>
          </w:tcPr>
          <w:p w14:paraId="7FB9699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东洋塭村民委员会</w:t>
            </w:r>
          </w:p>
        </w:tc>
        <w:tc>
          <w:tcPr>
            <w:tcW w:w="892" w:type="dxa"/>
            <w:shd w:val="clear" w:color="auto" w:fill="auto"/>
            <w:vAlign w:val="center"/>
          </w:tcPr>
          <w:p w14:paraId="0714011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凤埔</w:t>
            </w:r>
          </w:p>
        </w:tc>
        <w:tc>
          <w:tcPr>
            <w:tcW w:w="892" w:type="dxa"/>
            <w:shd w:val="clear" w:color="auto" w:fill="auto"/>
            <w:noWrap/>
            <w:vAlign w:val="center"/>
          </w:tcPr>
          <w:p w14:paraId="2579F34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200</w:t>
            </w:r>
          </w:p>
        </w:tc>
        <w:tc>
          <w:tcPr>
            <w:tcW w:w="1099" w:type="dxa"/>
            <w:shd w:val="clear" w:color="auto" w:fill="auto"/>
            <w:vAlign w:val="center"/>
          </w:tcPr>
          <w:p w14:paraId="52766ED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2487009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6A2EED42">
            <w:pPr>
              <w:widowControl/>
              <w:jc w:val="center"/>
              <w:rPr>
                <w:rFonts w:ascii="宋体" w:hAnsi="宋体" w:cs="宋体"/>
                <w:kern w:val="0"/>
                <w:szCs w:val="21"/>
              </w:rPr>
            </w:pPr>
            <w:r>
              <w:rPr>
                <w:rFonts w:hint="eastAsia" w:ascii="宋体" w:hAnsi="宋体" w:cs="宋体"/>
                <w:kern w:val="0"/>
                <w:szCs w:val="21"/>
              </w:rPr>
              <w:t>397</w:t>
            </w:r>
          </w:p>
        </w:tc>
        <w:tc>
          <w:tcPr>
            <w:tcW w:w="1076" w:type="dxa"/>
            <w:shd w:val="clear" w:color="auto" w:fill="auto"/>
            <w:noWrap/>
            <w:vAlign w:val="center"/>
          </w:tcPr>
          <w:p w14:paraId="2550EA99">
            <w:pPr>
              <w:widowControl/>
              <w:jc w:val="center"/>
              <w:rPr>
                <w:rFonts w:ascii="宋体" w:hAnsi="宋体" w:cs="宋体"/>
                <w:kern w:val="0"/>
                <w:szCs w:val="21"/>
              </w:rPr>
            </w:pPr>
            <w:r>
              <w:rPr>
                <w:rFonts w:hint="eastAsia" w:ascii="宋体" w:hAnsi="宋体" w:cs="宋体"/>
                <w:kern w:val="0"/>
                <w:szCs w:val="21"/>
              </w:rPr>
              <w:t>　</w:t>
            </w:r>
          </w:p>
        </w:tc>
      </w:tr>
      <w:tr w14:paraId="3992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6471B71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783" w:type="dxa"/>
            <w:vMerge w:val="continue"/>
            <w:shd w:val="clear" w:color="auto" w:fill="auto"/>
            <w:vAlign w:val="center"/>
          </w:tcPr>
          <w:p w14:paraId="798A6B36">
            <w:pPr>
              <w:widowControl/>
              <w:jc w:val="left"/>
              <w:rPr>
                <w:rFonts w:ascii="仿宋" w:hAnsi="仿宋" w:eastAsia="仿宋" w:cs="宋体"/>
                <w:color w:val="000000"/>
                <w:kern w:val="0"/>
                <w:szCs w:val="21"/>
              </w:rPr>
            </w:pPr>
          </w:p>
        </w:tc>
        <w:tc>
          <w:tcPr>
            <w:tcW w:w="1427" w:type="dxa"/>
            <w:shd w:val="clear" w:color="auto" w:fill="auto"/>
            <w:vAlign w:val="center"/>
          </w:tcPr>
          <w:p w14:paraId="4E3FDFB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四益村民委员会</w:t>
            </w:r>
          </w:p>
        </w:tc>
        <w:tc>
          <w:tcPr>
            <w:tcW w:w="892" w:type="dxa"/>
            <w:shd w:val="clear" w:color="auto" w:fill="auto"/>
            <w:vAlign w:val="center"/>
          </w:tcPr>
          <w:p w14:paraId="03774FD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金桥</w:t>
            </w:r>
          </w:p>
        </w:tc>
        <w:tc>
          <w:tcPr>
            <w:tcW w:w="892" w:type="dxa"/>
            <w:shd w:val="clear" w:color="auto" w:fill="auto"/>
            <w:noWrap/>
            <w:vAlign w:val="center"/>
          </w:tcPr>
          <w:p w14:paraId="133FDB4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115</w:t>
            </w:r>
          </w:p>
        </w:tc>
        <w:tc>
          <w:tcPr>
            <w:tcW w:w="1099" w:type="dxa"/>
            <w:shd w:val="clear" w:color="auto" w:fill="auto"/>
            <w:vAlign w:val="center"/>
          </w:tcPr>
          <w:p w14:paraId="13CD092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noWrap/>
            <w:vAlign w:val="bottom"/>
          </w:tcPr>
          <w:p w14:paraId="3BE480B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482A059B">
            <w:pPr>
              <w:widowControl/>
              <w:jc w:val="center"/>
              <w:rPr>
                <w:rFonts w:ascii="宋体" w:hAnsi="宋体" w:cs="宋体"/>
                <w:kern w:val="0"/>
                <w:szCs w:val="21"/>
              </w:rPr>
            </w:pPr>
            <w:r>
              <w:rPr>
                <w:rFonts w:hint="eastAsia" w:ascii="宋体" w:hAnsi="宋体" w:cs="宋体"/>
                <w:kern w:val="0"/>
                <w:szCs w:val="21"/>
              </w:rPr>
              <w:t>0</w:t>
            </w:r>
          </w:p>
        </w:tc>
        <w:tc>
          <w:tcPr>
            <w:tcW w:w="1076" w:type="dxa"/>
            <w:shd w:val="clear" w:color="auto" w:fill="auto"/>
            <w:noWrap/>
            <w:vAlign w:val="center"/>
          </w:tcPr>
          <w:p w14:paraId="0F25D617">
            <w:pPr>
              <w:widowControl/>
              <w:jc w:val="center"/>
              <w:rPr>
                <w:rFonts w:ascii="宋体" w:hAnsi="宋体" w:cs="宋体"/>
                <w:kern w:val="0"/>
                <w:szCs w:val="21"/>
              </w:rPr>
            </w:pPr>
            <w:r>
              <w:rPr>
                <w:rFonts w:hint="eastAsia" w:ascii="宋体" w:hAnsi="宋体" w:cs="宋体"/>
                <w:kern w:val="0"/>
                <w:szCs w:val="21"/>
              </w:rPr>
              <w:t>　</w:t>
            </w:r>
          </w:p>
        </w:tc>
      </w:tr>
      <w:tr w14:paraId="5561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54D361A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783" w:type="dxa"/>
            <w:vMerge w:val="continue"/>
            <w:shd w:val="clear" w:color="auto" w:fill="auto"/>
            <w:vAlign w:val="center"/>
          </w:tcPr>
          <w:p w14:paraId="4C576C96">
            <w:pPr>
              <w:widowControl/>
              <w:jc w:val="left"/>
              <w:rPr>
                <w:rFonts w:ascii="仿宋" w:hAnsi="仿宋" w:eastAsia="仿宋" w:cs="宋体"/>
                <w:color w:val="000000"/>
                <w:kern w:val="0"/>
                <w:szCs w:val="21"/>
              </w:rPr>
            </w:pPr>
          </w:p>
        </w:tc>
        <w:tc>
          <w:tcPr>
            <w:tcW w:w="1427" w:type="dxa"/>
            <w:vMerge w:val="restart"/>
            <w:shd w:val="clear" w:color="auto" w:fill="auto"/>
            <w:vAlign w:val="center"/>
          </w:tcPr>
          <w:p w14:paraId="50ED938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永安村民委员会</w:t>
            </w:r>
          </w:p>
          <w:p w14:paraId="454278FD">
            <w:pPr>
              <w:jc w:val="center"/>
              <w:rPr>
                <w:rFonts w:ascii="仿宋" w:hAnsi="仿宋" w:eastAsia="仿宋" w:cs="宋体"/>
                <w:color w:val="000000"/>
                <w:kern w:val="0"/>
                <w:szCs w:val="21"/>
              </w:rPr>
            </w:pPr>
          </w:p>
        </w:tc>
        <w:tc>
          <w:tcPr>
            <w:tcW w:w="892" w:type="dxa"/>
            <w:shd w:val="clear" w:color="auto" w:fill="auto"/>
            <w:vAlign w:val="center"/>
          </w:tcPr>
          <w:p w14:paraId="222869E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张厝角</w:t>
            </w:r>
          </w:p>
        </w:tc>
        <w:tc>
          <w:tcPr>
            <w:tcW w:w="892" w:type="dxa"/>
            <w:shd w:val="clear" w:color="auto" w:fill="auto"/>
            <w:noWrap/>
            <w:vAlign w:val="center"/>
          </w:tcPr>
          <w:p w14:paraId="0373EDF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180</w:t>
            </w:r>
          </w:p>
        </w:tc>
        <w:tc>
          <w:tcPr>
            <w:tcW w:w="1099" w:type="dxa"/>
            <w:shd w:val="clear" w:color="auto" w:fill="auto"/>
            <w:vAlign w:val="center"/>
          </w:tcPr>
          <w:p w14:paraId="117D83F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173C3CA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7CF0772F">
            <w:pPr>
              <w:widowControl/>
              <w:jc w:val="center"/>
              <w:rPr>
                <w:rFonts w:ascii="宋体" w:hAnsi="宋体" w:cs="宋体"/>
                <w:kern w:val="0"/>
                <w:szCs w:val="21"/>
              </w:rPr>
            </w:pPr>
            <w:r>
              <w:rPr>
                <w:rFonts w:hint="eastAsia" w:ascii="宋体" w:hAnsi="宋体" w:cs="宋体"/>
                <w:kern w:val="0"/>
                <w:szCs w:val="21"/>
              </w:rPr>
              <w:t>248</w:t>
            </w:r>
          </w:p>
        </w:tc>
        <w:tc>
          <w:tcPr>
            <w:tcW w:w="1076" w:type="dxa"/>
            <w:shd w:val="clear" w:color="auto" w:fill="auto"/>
            <w:noWrap/>
            <w:vAlign w:val="center"/>
          </w:tcPr>
          <w:p w14:paraId="30194B13">
            <w:pPr>
              <w:widowControl/>
              <w:jc w:val="center"/>
              <w:rPr>
                <w:rFonts w:ascii="宋体" w:hAnsi="宋体" w:cs="宋体"/>
                <w:kern w:val="0"/>
                <w:szCs w:val="21"/>
              </w:rPr>
            </w:pPr>
            <w:r>
              <w:rPr>
                <w:rFonts w:hint="eastAsia" w:ascii="宋体" w:hAnsi="宋体" w:cs="宋体"/>
                <w:kern w:val="0"/>
                <w:szCs w:val="21"/>
              </w:rPr>
              <w:t>　</w:t>
            </w:r>
          </w:p>
        </w:tc>
      </w:tr>
      <w:tr w14:paraId="44ED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26257E7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783" w:type="dxa"/>
            <w:vMerge w:val="continue"/>
            <w:shd w:val="clear" w:color="auto" w:fill="auto"/>
            <w:vAlign w:val="center"/>
          </w:tcPr>
          <w:p w14:paraId="077289DC">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501F677B">
            <w:pPr>
              <w:jc w:val="center"/>
              <w:rPr>
                <w:rFonts w:ascii="仿宋" w:hAnsi="仿宋" w:eastAsia="仿宋" w:cs="宋体"/>
                <w:color w:val="000000"/>
                <w:kern w:val="0"/>
                <w:szCs w:val="21"/>
              </w:rPr>
            </w:pPr>
          </w:p>
        </w:tc>
        <w:tc>
          <w:tcPr>
            <w:tcW w:w="892" w:type="dxa"/>
            <w:shd w:val="clear" w:color="auto" w:fill="auto"/>
            <w:vAlign w:val="center"/>
          </w:tcPr>
          <w:p w14:paraId="5FD1BA1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罗厝</w:t>
            </w:r>
          </w:p>
        </w:tc>
        <w:tc>
          <w:tcPr>
            <w:tcW w:w="892" w:type="dxa"/>
            <w:shd w:val="clear" w:color="auto" w:fill="auto"/>
            <w:noWrap/>
            <w:vAlign w:val="center"/>
          </w:tcPr>
          <w:p w14:paraId="0BDDE1F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179</w:t>
            </w:r>
          </w:p>
        </w:tc>
        <w:tc>
          <w:tcPr>
            <w:tcW w:w="1099" w:type="dxa"/>
            <w:shd w:val="clear" w:color="auto" w:fill="auto"/>
            <w:vAlign w:val="center"/>
          </w:tcPr>
          <w:p w14:paraId="5A32D57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6B33FF0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44CCD191">
            <w:pPr>
              <w:widowControl/>
              <w:jc w:val="center"/>
              <w:rPr>
                <w:rFonts w:ascii="宋体" w:hAnsi="宋体" w:cs="宋体"/>
                <w:kern w:val="0"/>
                <w:szCs w:val="21"/>
              </w:rPr>
            </w:pPr>
            <w:r>
              <w:rPr>
                <w:rFonts w:hint="eastAsia" w:ascii="宋体" w:hAnsi="宋体" w:cs="宋体"/>
                <w:kern w:val="0"/>
                <w:szCs w:val="21"/>
              </w:rPr>
              <w:t>374</w:t>
            </w:r>
          </w:p>
        </w:tc>
        <w:tc>
          <w:tcPr>
            <w:tcW w:w="1076" w:type="dxa"/>
            <w:shd w:val="clear" w:color="auto" w:fill="auto"/>
            <w:noWrap/>
            <w:vAlign w:val="center"/>
          </w:tcPr>
          <w:p w14:paraId="00908FE8">
            <w:pPr>
              <w:widowControl/>
              <w:jc w:val="center"/>
              <w:rPr>
                <w:rFonts w:ascii="宋体" w:hAnsi="宋体" w:cs="宋体"/>
                <w:kern w:val="0"/>
                <w:szCs w:val="21"/>
              </w:rPr>
            </w:pPr>
            <w:r>
              <w:rPr>
                <w:rFonts w:hint="eastAsia" w:ascii="宋体" w:hAnsi="宋体" w:cs="宋体"/>
                <w:kern w:val="0"/>
                <w:szCs w:val="21"/>
              </w:rPr>
              <w:t>　</w:t>
            </w:r>
          </w:p>
        </w:tc>
      </w:tr>
      <w:tr w14:paraId="215C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61341C8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783" w:type="dxa"/>
            <w:vMerge w:val="continue"/>
            <w:shd w:val="clear" w:color="auto" w:fill="auto"/>
            <w:vAlign w:val="center"/>
          </w:tcPr>
          <w:p w14:paraId="27371593">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07437A87">
            <w:pPr>
              <w:jc w:val="center"/>
              <w:rPr>
                <w:rFonts w:ascii="仿宋" w:hAnsi="仿宋" w:eastAsia="仿宋" w:cs="宋体"/>
                <w:color w:val="000000"/>
                <w:kern w:val="0"/>
                <w:szCs w:val="21"/>
              </w:rPr>
            </w:pPr>
          </w:p>
        </w:tc>
        <w:tc>
          <w:tcPr>
            <w:tcW w:w="892" w:type="dxa"/>
            <w:shd w:val="clear" w:color="auto" w:fill="auto"/>
            <w:vAlign w:val="center"/>
          </w:tcPr>
          <w:p w14:paraId="42C0438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山门黄</w:t>
            </w:r>
          </w:p>
        </w:tc>
        <w:tc>
          <w:tcPr>
            <w:tcW w:w="892" w:type="dxa"/>
            <w:shd w:val="clear" w:color="auto" w:fill="auto"/>
            <w:noWrap/>
            <w:vAlign w:val="center"/>
          </w:tcPr>
          <w:p w14:paraId="64EAFAD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136</w:t>
            </w:r>
          </w:p>
        </w:tc>
        <w:tc>
          <w:tcPr>
            <w:tcW w:w="1099" w:type="dxa"/>
            <w:shd w:val="clear" w:color="auto" w:fill="auto"/>
            <w:vAlign w:val="center"/>
          </w:tcPr>
          <w:p w14:paraId="25A4F1E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43E1EE4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4D80250A">
            <w:pPr>
              <w:widowControl/>
              <w:jc w:val="center"/>
              <w:rPr>
                <w:rFonts w:ascii="宋体" w:hAnsi="宋体" w:cs="宋体"/>
                <w:kern w:val="0"/>
                <w:szCs w:val="21"/>
              </w:rPr>
            </w:pPr>
            <w:r>
              <w:rPr>
                <w:rFonts w:hint="eastAsia" w:ascii="宋体" w:hAnsi="宋体" w:cs="宋体"/>
                <w:kern w:val="0"/>
                <w:szCs w:val="21"/>
              </w:rPr>
              <w:t>155</w:t>
            </w:r>
          </w:p>
        </w:tc>
        <w:tc>
          <w:tcPr>
            <w:tcW w:w="1076" w:type="dxa"/>
            <w:shd w:val="clear" w:color="auto" w:fill="auto"/>
            <w:noWrap/>
            <w:vAlign w:val="center"/>
          </w:tcPr>
          <w:p w14:paraId="4819D064">
            <w:pPr>
              <w:widowControl/>
              <w:jc w:val="center"/>
              <w:rPr>
                <w:rFonts w:ascii="宋体" w:hAnsi="宋体" w:cs="宋体"/>
                <w:kern w:val="0"/>
                <w:szCs w:val="21"/>
              </w:rPr>
            </w:pPr>
            <w:r>
              <w:rPr>
                <w:rFonts w:hint="eastAsia" w:ascii="宋体" w:hAnsi="宋体" w:cs="宋体"/>
                <w:kern w:val="0"/>
                <w:szCs w:val="21"/>
              </w:rPr>
              <w:t>　</w:t>
            </w:r>
          </w:p>
        </w:tc>
      </w:tr>
      <w:tr w14:paraId="253A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7191883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783" w:type="dxa"/>
            <w:vMerge w:val="continue"/>
            <w:shd w:val="clear" w:color="auto" w:fill="auto"/>
            <w:vAlign w:val="center"/>
          </w:tcPr>
          <w:p w14:paraId="772477FB">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4D1BC0B5">
            <w:pPr>
              <w:widowControl/>
              <w:jc w:val="center"/>
              <w:rPr>
                <w:rFonts w:ascii="仿宋" w:hAnsi="仿宋" w:eastAsia="仿宋" w:cs="宋体"/>
                <w:color w:val="000000"/>
                <w:kern w:val="0"/>
                <w:szCs w:val="21"/>
              </w:rPr>
            </w:pPr>
          </w:p>
        </w:tc>
        <w:tc>
          <w:tcPr>
            <w:tcW w:w="892" w:type="dxa"/>
            <w:shd w:val="clear" w:color="auto" w:fill="auto"/>
            <w:vAlign w:val="center"/>
          </w:tcPr>
          <w:p w14:paraId="3CBCC89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林厝堀</w:t>
            </w:r>
          </w:p>
        </w:tc>
        <w:tc>
          <w:tcPr>
            <w:tcW w:w="892" w:type="dxa"/>
            <w:shd w:val="clear" w:color="auto" w:fill="auto"/>
            <w:noWrap/>
            <w:vAlign w:val="center"/>
          </w:tcPr>
          <w:p w14:paraId="3167B40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302</w:t>
            </w:r>
          </w:p>
        </w:tc>
        <w:tc>
          <w:tcPr>
            <w:tcW w:w="1099" w:type="dxa"/>
            <w:shd w:val="clear" w:color="auto" w:fill="auto"/>
            <w:vAlign w:val="center"/>
          </w:tcPr>
          <w:p w14:paraId="7272375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22C2442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11BC3D98">
            <w:pPr>
              <w:widowControl/>
              <w:jc w:val="center"/>
              <w:rPr>
                <w:rFonts w:ascii="宋体" w:hAnsi="宋体" w:cs="宋体"/>
                <w:kern w:val="0"/>
                <w:szCs w:val="21"/>
              </w:rPr>
            </w:pPr>
            <w:r>
              <w:rPr>
                <w:rFonts w:hint="eastAsia" w:ascii="宋体" w:hAnsi="宋体" w:cs="宋体"/>
                <w:kern w:val="0"/>
                <w:szCs w:val="21"/>
              </w:rPr>
              <w:t>550</w:t>
            </w:r>
          </w:p>
        </w:tc>
        <w:tc>
          <w:tcPr>
            <w:tcW w:w="1076" w:type="dxa"/>
            <w:shd w:val="clear" w:color="auto" w:fill="auto"/>
            <w:noWrap/>
            <w:vAlign w:val="center"/>
          </w:tcPr>
          <w:p w14:paraId="7D93AC02">
            <w:pPr>
              <w:widowControl/>
              <w:jc w:val="center"/>
              <w:rPr>
                <w:rFonts w:ascii="宋体" w:hAnsi="宋体" w:cs="宋体"/>
                <w:kern w:val="0"/>
                <w:szCs w:val="21"/>
              </w:rPr>
            </w:pPr>
            <w:r>
              <w:rPr>
                <w:rFonts w:hint="eastAsia" w:ascii="宋体" w:hAnsi="宋体" w:cs="宋体"/>
                <w:kern w:val="0"/>
                <w:szCs w:val="21"/>
              </w:rPr>
              <w:t>　</w:t>
            </w:r>
          </w:p>
        </w:tc>
      </w:tr>
      <w:tr w14:paraId="0674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5AF0679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783" w:type="dxa"/>
            <w:vMerge w:val="continue"/>
            <w:shd w:val="clear" w:color="auto" w:fill="auto"/>
            <w:vAlign w:val="center"/>
          </w:tcPr>
          <w:p w14:paraId="53C22474">
            <w:pPr>
              <w:widowControl/>
              <w:jc w:val="left"/>
              <w:rPr>
                <w:rFonts w:ascii="仿宋" w:hAnsi="仿宋" w:eastAsia="仿宋" w:cs="宋体"/>
                <w:color w:val="000000"/>
                <w:kern w:val="0"/>
                <w:szCs w:val="21"/>
              </w:rPr>
            </w:pPr>
          </w:p>
        </w:tc>
        <w:tc>
          <w:tcPr>
            <w:tcW w:w="1427" w:type="dxa"/>
            <w:shd w:val="clear" w:color="auto" w:fill="auto"/>
            <w:vAlign w:val="center"/>
          </w:tcPr>
          <w:p w14:paraId="59FD5CD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小陂村民委员会</w:t>
            </w:r>
          </w:p>
        </w:tc>
        <w:tc>
          <w:tcPr>
            <w:tcW w:w="892" w:type="dxa"/>
            <w:shd w:val="clear" w:color="auto" w:fill="auto"/>
            <w:vAlign w:val="center"/>
          </w:tcPr>
          <w:p w14:paraId="67E08B9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小陂</w:t>
            </w:r>
          </w:p>
        </w:tc>
        <w:tc>
          <w:tcPr>
            <w:tcW w:w="892" w:type="dxa"/>
            <w:shd w:val="clear" w:color="auto" w:fill="auto"/>
            <w:noWrap/>
            <w:vAlign w:val="center"/>
          </w:tcPr>
          <w:p w14:paraId="2C58CD2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782</w:t>
            </w:r>
          </w:p>
        </w:tc>
        <w:tc>
          <w:tcPr>
            <w:tcW w:w="1099" w:type="dxa"/>
            <w:shd w:val="clear" w:color="auto" w:fill="auto"/>
            <w:vAlign w:val="center"/>
          </w:tcPr>
          <w:p w14:paraId="65C2C66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7C414B1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6FEA4848">
            <w:pPr>
              <w:widowControl/>
              <w:jc w:val="center"/>
              <w:rPr>
                <w:rFonts w:ascii="宋体" w:hAnsi="宋体" w:cs="宋体"/>
                <w:kern w:val="0"/>
                <w:szCs w:val="21"/>
              </w:rPr>
            </w:pPr>
            <w:r>
              <w:rPr>
                <w:rFonts w:hint="eastAsia" w:ascii="宋体" w:hAnsi="宋体" w:cs="宋体"/>
                <w:kern w:val="0"/>
                <w:szCs w:val="21"/>
              </w:rPr>
              <w:t>0</w:t>
            </w:r>
          </w:p>
        </w:tc>
        <w:tc>
          <w:tcPr>
            <w:tcW w:w="1076" w:type="dxa"/>
            <w:shd w:val="clear" w:color="auto" w:fill="auto"/>
            <w:noWrap/>
            <w:vAlign w:val="center"/>
          </w:tcPr>
          <w:p w14:paraId="09E3E27A">
            <w:pPr>
              <w:widowControl/>
              <w:jc w:val="center"/>
              <w:rPr>
                <w:rFonts w:ascii="宋体" w:hAnsi="宋体" w:cs="宋体"/>
                <w:kern w:val="0"/>
                <w:szCs w:val="21"/>
              </w:rPr>
            </w:pPr>
            <w:r>
              <w:rPr>
                <w:rFonts w:hint="eastAsia" w:ascii="宋体" w:hAnsi="宋体" w:cs="宋体"/>
                <w:kern w:val="0"/>
                <w:szCs w:val="21"/>
              </w:rPr>
              <w:t>　</w:t>
            </w:r>
          </w:p>
        </w:tc>
      </w:tr>
      <w:tr w14:paraId="083F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3012F22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783" w:type="dxa"/>
            <w:vMerge w:val="continue"/>
            <w:shd w:val="clear" w:color="auto" w:fill="auto"/>
            <w:vAlign w:val="center"/>
          </w:tcPr>
          <w:p w14:paraId="61E0D64D">
            <w:pPr>
              <w:widowControl/>
              <w:jc w:val="left"/>
              <w:rPr>
                <w:rFonts w:ascii="仿宋" w:hAnsi="仿宋" w:eastAsia="仿宋" w:cs="宋体"/>
                <w:color w:val="000000"/>
                <w:kern w:val="0"/>
                <w:szCs w:val="21"/>
              </w:rPr>
            </w:pPr>
          </w:p>
        </w:tc>
        <w:tc>
          <w:tcPr>
            <w:tcW w:w="1427" w:type="dxa"/>
            <w:shd w:val="clear" w:color="auto" w:fill="auto"/>
            <w:vAlign w:val="center"/>
          </w:tcPr>
          <w:p w14:paraId="098A25C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东郊村民委员会</w:t>
            </w:r>
          </w:p>
        </w:tc>
        <w:tc>
          <w:tcPr>
            <w:tcW w:w="892" w:type="dxa"/>
            <w:shd w:val="clear" w:color="auto" w:fill="auto"/>
            <w:vAlign w:val="center"/>
          </w:tcPr>
          <w:p w14:paraId="13D8536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顶厝</w:t>
            </w:r>
          </w:p>
        </w:tc>
        <w:tc>
          <w:tcPr>
            <w:tcW w:w="892" w:type="dxa"/>
            <w:shd w:val="clear" w:color="auto" w:fill="auto"/>
            <w:noWrap/>
            <w:vAlign w:val="center"/>
          </w:tcPr>
          <w:p w14:paraId="6D03956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w:t>
            </w:r>
          </w:p>
        </w:tc>
        <w:tc>
          <w:tcPr>
            <w:tcW w:w="1099" w:type="dxa"/>
            <w:shd w:val="clear" w:color="auto" w:fill="auto"/>
            <w:vAlign w:val="center"/>
          </w:tcPr>
          <w:p w14:paraId="3D86FF6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7F01302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6BA0BC7A">
            <w:pPr>
              <w:widowControl/>
              <w:jc w:val="center"/>
              <w:rPr>
                <w:rFonts w:ascii="宋体" w:hAnsi="宋体" w:cs="宋体"/>
                <w:kern w:val="0"/>
                <w:szCs w:val="21"/>
              </w:rPr>
            </w:pPr>
            <w:r>
              <w:rPr>
                <w:rFonts w:hint="eastAsia" w:ascii="宋体" w:hAnsi="宋体" w:cs="宋体"/>
                <w:kern w:val="0"/>
                <w:szCs w:val="21"/>
              </w:rPr>
              <w:t>281</w:t>
            </w:r>
          </w:p>
        </w:tc>
        <w:tc>
          <w:tcPr>
            <w:tcW w:w="1076" w:type="dxa"/>
            <w:shd w:val="clear" w:color="auto" w:fill="auto"/>
            <w:noWrap/>
            <w:vAlign w:val="center"/>
          </w:tcPr>
          <w:p w14:paraId="106B87A3">
            <w:pPr>
              <w:widowControl/>
              <w:jc w:val="center"/>
              <w:rPr>
                <w:rFonts w:ascii="宋体" w:hAnsi="宋体" w:cs="宋体"/>
                <w:kern w:val="0"/>
                <w:szCs w:val="21"/>
              </w:rPr>
            </w:pPr>
            <w:r>
              <w:rPr>
                <w:rFonts w:hint="eastAsia" w:ascii="宋体" w:hAnsi="宋体" w:cs="宋体"/>
                <w:kern w:val="0"/>
                <w:szCs w:val="21"/>
              </w:rPr>
              <w:t>　</w:t>
            </w:r>
          </w:p>
        </w:tc>
      </w:tr>
      <w:tr w14:paraId="5EF7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97" w:type="dxa"/>
            <w:shd w:val="clear" w:color="auto" w:fill="auto"/>
            <w:noWrap/>
            <w:vAlign w:val="bottom"/>
          </w:tcPr>
          <w:p w14:paraId="7DA0D2C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783" w:type="dxa"/>
            <w:vMerge w:val="continue"/>
            <w:shd w:val="clear" w:color="auto" w:fill="auto"/>
            <w:vAlign w:val="center"/>
          </w:tcPr>
          <w:p w14:paraId="1DC2593C">
            <w:pPr>
              <w:widowControl/>
              <w:jc w:val="left"/>
              <w:rPr>
                <w:rFonts w:ascii="仿宋" w:hAnsi="仿宋" w:eastAsia="仿宋" w:cs="宋体"/>
                <w:color w:val="000000"/>
                <w:kern w:val="0"/>
                <w:szCs w:val="21"/>
              </w:rPr>
            </w:pPr>
          </w:p>
        </w:tc>
        <w:tc>
          <w:tcPr>
            <w:tcW w:w="1427" w:type="dxa"/>
            <w:shd w:val="clear" w:color="auto" w:fill="auto"/>
            <w:vAlign w:val="center"/>
          </w:tcPr>
          <w:p w14:paraId="43E616E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西都村民委员会</w:t>
            </w:r>
          </w:p>
        </w:tc>
        <w:tc>
          <w:tcPr>
            <w:tcW w:w="892" w:type="dxa"/>
            <w:shd w:val="clear" w:color="auto" w:fill="auto"/>
            <w:vAlign w:val="center"/>
          </w:tcPr>
          <w:p w14:paraId="6D09A06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西都</w:t>
            </w:r>
          </w:p>
        </w:tc>
        <w:tc>
          <w:tcPr>
            <w:tcW w:w="892" w:type="dxa"/>
            <w:shd w:val="clear" w:color="auto" w:fill="auto"/>
            <w:noWrap/>
            <w:vAlign w:val="center"/>
          </w:tcPr>
          <w:p w14:paraId="255AFB9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1920</w:t>
            </w:r>
          </w:p>
        </w:tc>
        <w:tc>
          <w:tcPr>
            <w:tcW w:w="1099" w:type="dxa"/>
            <w:shd w:val="clear" w:color="auto" w:fill="auto"/>
            <w:vAlign w:val="center"/>
          </w:tcPr>
          <w:p w14:paraId="2E71980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一体化设施</w:t>
            </w:r>
          </w:p>
        </w:tc>
        <w:tc>
          <w:tcPr>
            <w:tcW w:w="1079" w:type="dxa"/>
            <w:shd w:val="clear" w:color="auto" w:fill="auto"/>
            <w:vAlign w:val="center"/>
          </w:tcPr>
          <w:p w14:paraId="56E33BA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66739AEE">
            <w:pPr>
              <w:widowControl/>
              <w:jc w:val="center"/>
              <w:rPr>
                <w:rFonts w:ascii="宋体" w:hAnsi="宋体" w:cs="宋体"/>
                <w:kern w:val="0"/>
                <w:szCs w:val="21"/>
              </w:rPr>
            </w:pPr>
            <w:r>
              <w:rPr>
                <w:rFonts w:hint="eastAsia" w:ascii="宋体" w:hAnsi="宋体" w:cs="宋体"/>
                <w:kern w:val="0"/>
                <w:szCs w:val="21"/>
              </w:rPr>
              <w:t>1960</w:t>
            </w:r>
          </w:p>
        </w:tc>
        <w:tc>
          <w:tcPr>
            <w:tcW w:w="1076" w:type="dxa"/>
            <w:shd w:val="clear" w:color="auto" w:fill="auto"/>
            <w:noWrap/>
            <w:vAlign w:val="center"/>
          </w:tcPr>
          <w:p w14:paraId="7C0B7792">
            <w:pPr>
              <w:widowControl/>
              <w:jc w:val="center"/>
              <w:rPr>
                <w:rFonts w:ascii="宋体" w:hAnsi="宋体" w:cs="宋体"/>
                <w:kern w:val="0"/>
                <w:szCs w:val="21"/>
              </w:rPr>
            </w:pPr>
            <w:r>
              <w:rPr>
                <w:rFonts w:hint="eastAsia" w:ascii="宋体" w:hAnsi="宋体" w:cs="宋体"/>
                <w:kern w:val="0"/>
                <w:szCs w:val="21"/>
              </w:rPr>
              <w:t>　</w:t>
            </w:r>
          </w:p>
        </w:tc>
      </w:tr>
      <w:tr w14:paraId="4DA2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484B508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3" w:type="dxa"/>
            <w:vMerge w:val="restart"/>
            <w:shd w:val="clear" w:color="auto" w:fill="auto"/>
            <w:vAlign w:val="center"/>
          </w:tcPr>
          <w:p w14:paraId="0C5DE66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磷溪镇</w:t>
            </w:r>
          </w:p>
        </w:tc>
        <w:tc>
          <w:tcPr>
            <w:tcW w:w="1427" w:type="dxa"/>
            <w:shd w:val="clear" w:color="auto" w:fill="auto"/>
            <w:vAlign w:val="center"/>
          </w:tcPr>
          <w:p w14:paraId="095D95B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福聚村民委员会</w:t>
            </w:r>
          </w:p>
        </w:tc>
        <w:tc>
          <w:tcPr>
            <w:tcW w:w="892" w:type="dxa"/>
            <w:shd w:val="clear" w:color="auto" w:fill="auto"/>
            <w:vAlign w:val="center"/>
          </w:tcPr>
          <w:p w14:paraId="6645C7E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福聚</w:t>
            </w:r>
          </w:p>
        </w:tc>
        <w:tc>
          <w:tcPr>
            <w:tcW w:w="892" w:type="dxa"/>
            <w:shd w:val="clear" w:color="auto" w:fill="auto"/>
            <w:noWrap/>
            <w:vAlign w:val="center"/>
          </w:tcPr>
          <w:p w14:paraId="1E12BFC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2004</w:t>
            </w:r>
          </w:p>
        </w:tc>
        <w:tc>
          <w:tcPr>
            <w:tcW w:w="1099" w:type="dxa"/>
            <w:shd w:val="clear" w:color="auto" w:fill="auto"/>
            <w:vAlign w:val="center"/>
          </w:tcPr>
          <w:p w14:paraId="5053635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2A16259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2EAC1148">
            <w:pPr>
              <w:widowControl/>
              <w:jc w:val="center"/>
              <w:rPr>
                <w:rFonts w:ascii="宋体" w:hAnsi="宋体" w:cs="宋体"/>
                <w:kern w:val="0"/>
                <w:szCs w:val="21"/>
              </w:rPr>
            </w:pPr>
            <w:r>
              <w:rPr>
                <w:rFonts w:hint="eastAsia" w:ascii="宋体" w:hAnsi="宋体" w:cs="宋体"/>
                <w:kern w:val="0"/>
                <w:szCs w:val="21"/>
              </w:rPr>
              <w:t>647</w:t>
            </w:r>
          </w:p>
        </w:tc>
        <w:tc>
          <w:tcPr>
            <w:tcW w:w="1076" w:type="dxa"/>
            <w:shd w:val="clear" w:color="auto" w:fill="auto"/>
            <w:noWrap/>
            <w:vAlign w:val="center"/>
          </w:tcPr>
          <w:p w14:paraId="1A1FB653">
            <w:pPr>
              <w:widowControl/>
              <w:jc w:val="center"/>
              <w:rPr>
                <w:rFonts w:ascii="宋体" w:hAnsi="宋体" w:cs="宋体"/>
                <w:kern w:val="0"/>
                <w:szCs w:val="21"/>
              </w:rPr>
            </w:pPr>
            <w:r>
              <w:rPr>
                <w:rFonts w:hint="eastAsia" w:ascii="宋体" w:hAnsi="宋体" w:cs="宋体"/>
                <w:kern w:val="0"/>
                <w:szCs w:val="21"/>
              </w:rPr>
              <w:t>100</w:t>
            </w:r>
          </w:p>
        </w:tc>
      </w:tr>
      <w:tr w14:paraId="412E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6571A70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783" w:type="dxa"/>
            <w:vMerge w:val="continue"/>
            <w:shd w:val="clear" w:color="auto" w:fill="auto"/>
            <w:vAlign w:val="center"/>
          </w:tcPr>
          <w:p w14:paraId="54210065">
            <w:pPr>
              <w:widowControl/>
              <w:jc w:val="left"/>
              <w:rPr>
                <w:rFonts w:ascii="仿宋" w:hAnsi="仿宋" w:eastAsia="仿宋" w:cs="宋体"/>
                <w:color w:val="000000"/>
                <w:kern w:val="0"/>
                <w:szCs w:val="21"/>
              </w:rPr>
            </w:pPr>
          </w:p>
        </w:tc>
        <w:tc>
          <w:tcPr>
            <w:tcW w:w="1427" w:type="dxa"/>
            <w:vMerge w:val="restart"/>
            <w:shd w:val="clear" w:color="auto" w:fill="auto"/>
            <w:vAlign w:val="center"/>
          </w:tcPr>
          <w:p w14:paraId="1119088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美堤村民委员会</w:t>
            </w:r>
          </w:p>
          <w:p w14:paraId="0868AA64">
            <w:pPr>
              <w:jc w:val="center"/>
              <w:rPr>
                <w:rFonts w:ascii="仿宋" w:hAnsi="仿宋" w:eastAsia="仿宋" w:cs="宋体"/>
                <w:color w:val="000000"/>
                <w:kern w:val="0"/>
                <w:szCs w:val="21"/>
              </w:rPr>
            </w:pPr>
          </w:p>
        </w:tc>
        <w:tc>
          <w:tcPr>
            <w:tcW w:w="892" w:type="dxa"/>
            <w:shd w:val="clear" w:color="auto" w:fill="auto"/>
            <w:vAlign w:val="center"/>
          </w:tcPr>
          <w:p w14:paraId="325D6A2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古美</w:t>
            </w:r>
          </w:p>
        </w:tc>
        <w:tc>
          <w:tcPr>
            <w:tcW w:w="892" w:type="dxa"/>
            <w:shd w:val="clear" w:color="auto" w:fill="auto"/>
            <w:vAlign w:val="center"/>
          </w:tcPr>
          <w:p w14:paraId="44BE8AB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836</w:t>
            </w:r>
          </w:p>
        </w:tc>
        <w:tc>
          <w:tcPr>
            <w:tcW w:w="1099" w:type="dxa"/>
            <w:shd w:val="clear" w:color="auto" w:fill="auto"/>
            <w:vAlign w:val="center"/>
          </w:tcPr>
          <w:p w14:paraId="5CDBCCC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现状人工湿地</w:t>
            </w:r>
          </w:p>
        </w:tc>
        <w:tc>
          <w:tcPr>
            <w:tcW w:w="1079" w:type="dxa"/>
            <w:shd w:val="clear" w:color="auto" w:fill="auto"/>
            <w:vAlign w:val="center"/>
          </w:tcPr>
          <w:p w14:paraId="774B6FF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40</w:t>
            </w:r>
          </w:p>
        </w:tc>
        <w:tc>
          <w:tcPr>
            <w:tcW w:w="948" w:type="dxa"/>
            <w:shd w:val="clear" w:color="auto" w:fill="auto"/>
            <w:noWrap/>
            <w:vAlign w:val="center"/>
          </w:tcPr>
          <w:p w14:paraId="24124A3E">
            <w:pPr>
              <w:widowControl/>
              <w:jc w:val="center"/>
              <w:rPr>
                <w:rFonts w:ascii="宋体" w:hAnsi="宋体" w:cs="宋体"/>
                <w:kern w:val="0"/>
                <w:szCs w:val="21"/>
              </w:rPr>
            </w:pPr>
            <w:r>
              <w:rPr>
                <w:rFonts w:hint="eastAsia" w:ascii="宋体" w:hAnsi="宋体" w:cs="宋体"/>
                <w:kern w:val="0"/>
                <w:szCs w:val="21"/>
              </w:rPr>
              <w:t>210</w:t>
            </w:r>
          </w:p>
        </w:tc>
        <w:tc>
          <w:tcPr>
            <w:tcW w:w="1076" w:type="dxa"/>
            <w:shd w:val="clear" w:color="auto" w:fill="auto"/>
            <w:noWrap/>
            <w:vAlign w:val="center"/>
          </w:tcPr>
          <w:p w14:paraId="6CB6F055">
            <w:pPr>
              <w:widowControl/>
              <w:jc w:val="center"/>
              <w:rPr>
                <w:rFonts w:ascii="宋体" w:hAnsi="宋体" w:cs="宋体"/>
                <w:kern w:val="0"/>
                <w:szCs w:val="21"/>
              </w:rPr>
            </w:pPr>
            <w:r>
              <w:rPr>
                <w:rFonts w:hint="eastAsia" w:ascii="宋体" w:hAnsi="宋体" w:cs="宋体"/>
                <w:kern w:val="0"/>
                <w:szCs w:val="21"/>
              </w:rPr>
              <w:t>50</w:t>
            </w:r>
          </w:p>
        </w:tc>
      </w:tr>
      <w:tr w14:paraId="2F36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3CC0990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3" w:type="dxa"/>
            <w:vMerge w:val="continue"/>
            <w:shd w:val="clear" w:color="auto" w:fill="auto"/>
            <w:vAlign w:val="center"/>
          </w:tcPr>
          <w:p w14:paraId="43BBE7CE">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1AB89524">
            <w:pPr>
              <w:jc w:val="center"/>
              <w:rPr>
                <w:rFonts w:ascii="仿宋" w:hAnsi="仿宋" w:eastAsia="仿宋" w:cs="宋体"/>
                <w:color w:val="000000"/>
                <w:kern w:val="0"/>
                <w:szCs w:val="21"/>
              </w:rPr>
            </w:pPr>
          </w:p>
        </w:tc>
        <w:tc>
          <w:tcPr>
            <w:tcW w:w="892" w:type="dxa"/>
            <w:shd w:val="clear" w:color="auto" w:fill="auto"/>
            <w:vAlign w:val="center"/>
          </w:tcPr>
          <w:p w14:paraId="363E4E9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古堤</w:t>
            </w:r>
          </w:p>
        </w:tc>
        <w:tc>
          <w:tcPr>
            <w:tcW w:w="892" w:type="dxa"/>
            <w:shd w:val="clear" w:color="auto" w:fill="auto"/>
            <w:noWrap/>
            <w:vAlign w:val="center"/>
          </w:tcPr>
          <w:p w14:paraId="0F5A89E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395</w:t>
            </w:r>
          </w:p>
        </w:tc>
        <w:tc>
          <w:tcPr>
            <w:tcW w:w="1099" w:type="dxa"/>
            <w:shd w:val="clear" w:color="auto" w:fill="auto"/>
            <w:vAlign w:val="center"/>
          </w:tcPr>
          <w:p w14:paraId="1F69CEA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noWrap/>
            <w:vAlign w:val="bottom"/>
          </w:tcPr>
          <w:p w14:paraId="3929545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0195D452">
            <w:pPr>
              <w:widowControl/>
              <w:jc w:val="center"/>
              <w:rPr>
                <w:rFonts w:ascii="宋体" w:hAnsi="宋体" w:cs="宋体"/>
                <w:kern w:val="0"/>
                <w:szCs w:val="21"/>
              </w:rPr>
            </w:pPr>
            <w:r>
              <w:rPr>
                <w:rFonts w:hint="eastAsia" w:ascii="宋体" w:hAnsi="宋体" w:cs="宋体"/>
                <w:kern w:val="0"/>
                <w:szCs w:val="21"/>
              </w:rPr>
              <w:t>97</w:t>
            </w:r>
          </w:p>
        </w:tc>
        <w:tc>
          <w:tcPr>
            <w:tcW w:w="1076" w:type="dxa"/>
            <w:shd w:val="clear" w:color="auto" w:fill="auto"/>
            <w:noWrap/>
            <w:vAlign w:val="center"/>
          </w:tcPr>
          <w:p w14:paraId="6BFEF62C">
            <w:pPr>
              <w:widowControl/>
              <w:jc w:val="center"/>
              <w:rPr>
                <w:rFonts w:ascii="宋体" w:hAnsi="宋体" w:cs="宋体"/>
                <w:kern w:val="0"/>
                <w:szCs w:val="21"/>
              </w:rPr>
            </w:pPr>
            <w:r>
              <w:rPr>
                <w:rFonts w:hint="eastAsia" w:ascii="宋体" w:hAnsi="宋体" w:cs="宋体"/>
                <w:kern w:val="0"/>
                <w:szCs w:val="21"/>
              </w:rPr>
              <w:t>　</w:t>
            </w:r>
          </w:p>
        </w:tc>
      </w:tr>
      <w:tr w14:paraId="6ED7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6A0292F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3" w:type="dxa"/>
            <w:vMerge w:val="continue"/>
            <w:shd w:val="clear" w:color="auto" w:fill="auto"/>
            <w:vAlign w:val="center"/>
          </w:tcPr>
          <w:p w14:paraId="7FCDB000">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10E5E3C4">
            <w:pPr>
              <w:widowControl/>
              <w:jc w:val="center"/>
              <w:rPr>
                <w:rFonts w:ascii="仿宋" w:hAnsi="仿宋" w:eastAsia="仿宋" w:cs="宋体"/>
                <w:color w:val="000000"/>
                <w:kern w:val="0"/>
                <w:szCs w:val="21"/>
              </w:rPr>
            </w:pPr>
          </w:p>
        </w:tc>
        <w:tc>
          <w:tcPr>
            <w:tcW w:w="892" w:type="dxa"/>
            <w:shd w:val="clear" w:color="auto" w:fill="auto"/>
            <w:vAlign w:val="center"/>
          </w:tcPr>
          <w:p w14:paraId="5E5FA21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口美</w:t>
            </w:r>
          </w:p>
        </w:tc>
        <w:tc>
          <w:tcPr>
            <w:tcW w:w="892" w:type="dxa"/>
            <w:shd w:val="clear" w:color="auto" w:fill="auto"/>
            <w:noWrap/>
            <w:vAlign w:val="center"/>
          </w:tcPr>
          <w:p w14:paraId="15DABFB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102</w:t>
            </w:r>
          </w:p>
        </w:tc>
        <w:tc>
          <w:tcPr>
            <w:tcW w:w="1099" w:type="dxa"/>
            <w:shd w:val="clear" w:color="auto" w:fill="auto"/>
            <w:vAlign w:val="center"/>
          </w:tcPr>
          <w:p w14:paraId="03F9F4D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noWrap/>
            <w:vAlign w:val="bottom"/>
          </w:tcPr>
          <w:p w14:paraId="2732FE1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6A4AFA0B">
            <w:pPr>
              <w:widowControl/>
              <w:jc w:val="center"/>
              <w:rPr>
                <w:rFonts w:ascii="宋体" w:hAnsi="宋体" w:cs="宋体"/>
                <w:kern w:val="0"/>
                <w:szCs w:val="21"/>
              </w:rPr>
            </w:pPr>
            <w:r>
              <w:rPr>
                <w:rFonts w:hint="eastAsia" w:ascii="宋体" w:hAnsi="宋体" w:cs="宋体"/>
                <w:kern w:val="0"/>
                <w:szCs w:val="21"/>
              </w:rPr>
              <w:t>321</w:t>
            </w:r>
          </w:p>
        </w:tc>
        <w:tc>
          <w:tcPr>
            <w:tcW w:w="1076" w:type="dxa"/>
            <w:shd w:val="clear" w:color="auto" w:fill="auto"/>
            <w:noWrap/>
            <w:vAlign w:val="center"/>
          </w:tcPr>
          <w:p w14:paraId="59676697">
            <w:pPr>
              <w:widowControl/>
              <w:jc w:val="center"/>
              <w:rPr>
                <w:rFonts w:ascii="宋体" w:hAnsi="宋体" w:cs="宋体"/>
                <w:kern w:val="0"/>
                <w:szCs w:val="21"/>
              </w:rPr>
            </w:pPr>
            <w:r>
              <w:rPr>
                <w:rFonts w:hint="eastAsia" w:ascii="宋体" w:hAnsi="宋体" w:cs="宋体"/>
                <w:kern w:val="0"/>
                <w:szCs w:val="21"/>
              </w:rPr>
              <w:t>　</w:t>
            </w:r>
          </w:p>
        </w:tc>
      </w:tr>
      <w:tr w14:paraId="27B8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5E395F9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783" w:type="dxa"/>
            <w:vMerge w:val="continue"/>
            <w:shd w:val="clear" w:color="auto" w:fill="auto"/>
            <w:vAlign w:val="center"/>
          </w:tcPr>
          <w:p w14:paraId="5A15CD18">
            <w:pPr>
              <w:widowControl/>
              <w:jc w:val="left"/>
              <w:rPr>
                <w:rFonts w:ascii="仿宋" w:hAnsi="仿宋" w:eastAsia="仿宋" w:cs="宋体"/>
                <w:color w:val="000000"/>
                <w:kern w:val="0"/>
                <w:szCs w:val="21"/>
              </w:rPr>
            </w:pPr>
          </w:p>
        </w:tc>
        <w:tc>
          <w:tcPr>
            <w:tcW w:w="1427" w:type="dxa"/>
            <w:vMerge w:val="restart"/>
            <w:shd w:val="clear" w:color="auto" w:fill="auto"/>
            <w:vAlign w:val="center"/>
          </w:tcPr>
          <w:p w14:paraId="116A015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塔后村民委员会</w:t>
            </w:r>
          </w:p>
          <w:p w14:paraId="2AC318FD">
            <w:pPr>
              <w:jc w:val="center"/>
              <w:rPr>
                <w:rFonts w:ascii="仿宋" w:hAnsi="仿宋" w:eastAsia="仿宋" w:cs="宋体"/>
                <w:color w:val="000000"/>
                <w:kern w:val="0"/>
                <w:szCs w:val="21"/>
              </w:rPr>
            </w:pPr>
          </w:p>
        </w:tc>
        <w:tc>
          <w:tcPr>
            <w:tcW w:w="892" w:type="dxa"/>
            <w:shd w:val="clear" w:color="auto" w:fill="auto"/>
            <w:vAlign w:val="center"/>
          </w:tcPr>
          <w:p w14:paraId="19A2715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永隆</w:t>
            </w:r>
          </w:p>
        </w:tc>
        <w:tc>
          <w:tcPr>
            <w:tcW w:w="892" w:type="dxa"/>
            <w:shd w:val="clear" w:color="auto" w:fill="auto"/>
            <w:noWrap/>
            <w:vAlign w:val="center"/>
          </w:tcPr>
          <w:p w14:paraId="07E2B86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227</w:t>
            </w:r>
          </w:p>
        </w:tc>
        <w:tc>
          <w:tcPr>
            <w:tcW w:w="1099" w:type="dxa"/>
            <w:vMerge w:val="restart"/>
            <w:shd w:val="clear" w:color="auto" w:fill="auto"/>
            <w:vAlign w:val="center"/>
          </w:tcPr>
          <w:p w14:paraId="1FC8F7D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noWrap/>
            <w:vAlign w:val="bottom"/>
          </w:tcPr>
          <w:p w14:paraId="7BD81A2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restart"/>
            <w:shd w:val="clear" w:color="auto" w:fill="auto"/>
            <w:noWrap/>
            <w:vAlign w:val="center"/>
          </w:tcPr>
          <w:p w14:paraId="2C70A629">
            <w:pPr>
              <w:widowControl/>
              <w:jc w:val="center"/>
              <w:rPr>
                <w:rFonts w:ascii="宋体" w:hAnsi="宋体" w:cs="宋体"/>
                <w:kern w:val="0"/>
                <w:szCs w:val="21"/>
              </w:rPr>
            </w:pPr>
            <w:r>
              <w:rPr>
                <w:rFonts w:hint="eastAsia" w:ascii="宋体" w:hAnsi="宋体" w:cs="宋体"/>
                <w:kern w:val="0"/>
                <w:szCs w:val="21"/>
              </w:rPr>
              <w:t>0</w:t>
            </w:r>
          </w:p>
        </w:tc>
        <w:tc>
          <w:tcPr>
            <w:tcW w:w="1076" w:type="dxa"/>
            <w:shd w:val="clear" w:color="auto" w:fill="auto"/>
            <w:noWrap/>
            <w:vAlign w:val="center"/>
          </w:tcPr>
          <w:p w14:paraId="78A331C2">
            <w:pPr>
              <w:widowControl/>
              <w:jc w:val="center"/>
              <w:rPr>
                <w:rFonts w:ascii="宋体" w:hAnsi="宋体" w:cs="宋体"/>
                <w:kern w:val="0"/>
                <w:szCs w:val="21"/>
              </w:rPr>
            </w:pPr>
            <w:r>
              <w:rPr>
                <w:rFonts w:hint="eastAsia" w:ascii="宋体" w:hAnsi="宋体" w:cs="宋体"/>
                <w:kern w:val="0"/>
                <w:szCs w:val="21"/>
              </w:rPr>
              <w:t>　</w:t>
            </w:r>
          </w:p>
        </w:tc>
      </w:tr>
      <w:tr w14:paraId="72C2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76F1AFF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783" w:type="dxa"/>
            <w:vMerge w:val="continue"/>
            <w:shd w:val="clear" w:color="auto" w:fill="auto"/>
            <w:vAlign w:val="center"/>
          </w:tcPr>
          <w:p w14:paraId="30F99205">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71638F46">
            <w:pPr>
              <w:jc w:val="center"/>
              <w:rPr>
                <w:rFonts w:ascii="仿宋" w:hAnsi="仿宋" w:eastAsia="仿宋" w:cs="宋体"/>
                <w:color w:val="000000"/>
                <w:kern w:val="0"/>
                <w:szCs w:val="21"/>
              </w:rPr>
            </w:pPr>
          </w:p>
        </w:tc>
        <w:tc>
          <w:tcPr>
            <w:tcW w:w="892" w:type="dxa"/>
            <w:shd w:val="clear" w:color="auto" w:fill="auto"/>
            <w:vAlign w:val="center"/>
          </w:tcPr>
          <w:p w14:paraId="137C58E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蔡厝新</w:t>
            </w:r>
          </w:p>
        </w:tc>
        <w:tc>
          <w:tcPr>
            <w:tcW w:w="892" w:type="dxa"/>
            <w:shd w:val="clear" w:color="auto" w:fill="auto"/>
            <w:noWrap/>
            <w:vAlign w:val="center"/>
          </w:tcPr>
          <w:p w14:paraId="246A91A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374</w:t>
            </w:r>
          </w:p>
        </w:tc>
        <w:tc>
          <w:tcPr>
            <w:tcW w:w="1099" w:type="dxa"/>
            <w:vMerge w:val="continue"/>
            <w:shd w:val="clear" w:color="auto" w:fill="auto"/>
            <w:vAlign w:val="center"/>
          </w:tcPr>
          <w:p w14:paraId="27633679">
            <w:pPr>
              <w:widowControl/>
              <w:jc w:val="left"/>
              <w:rPr>
                <w:rFonts w:ascii="仿宋" w:hAnsi="仿宋" w:eastAsia="仿宋" w:cs="宋体"/>
                <w:color w:val="000000"/>
                <w:kern w:val="0"/>
                <w:szCs w:val="21"/>
              </w:rPr>
            </w:pPr>
          </w:p>
        </w:tc>
        <w:tc>
          <w:tcPr>
            <w:tcW w:w="1079" w:type="dxa"/>
            <w:shd w:val="clear" w:color="auto" w:fill="auto"/>
            <w:noWrap/>
            <w:vAlign w:val="bottom"/>
          </w:tcPr>
          <w:p w14:paraId="242D824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00EB6165">
            <w:pPr>
              <w:widowControl/>
              <w:jc w:val="left"/>
              <w:rPr>
                <w:rFonts w:ascii="宋体" w:hAnsi="宋体" w:cs="宋体"/>
                <w:kern w:val="0"/>
                <w:szCs w:val="21"/>
              </w:rPr>
            </w:pPr>
          </w:p>
        </w:tc>
        <w:tc>
          <w:tcPr>
            <w:tcW w:w="1076" w:type="dxa"/>
            <w:shd w:val="clear" w:color="auto" w:fill="auto"/>
            <w:noWrap/>
            <w:vAlign w:val="center"/>
          </w:tcPr>
          <w:p w14:paraId="61040860">
            <w:pPr>
              <w:widowControl/>
              <w:jc w:val="center"/>
              <w:rPr>
                <w:rFonts w:ascii="宋体" w:hAnsi="宋体" w:cs="宋体"/>
                <w:kern w:val="0"/>
                <w:szCs w:val="21"/>
              </w:rPr>
            </w:pPr>
            <w:r>
              <w:rPr>
                <w:rFonts w:hint="eastAsia" w:ascii="宋体" w:hAnsi="宋体" w:cs="宋体"/>
                <w:kern w:val="0"/>
                <w:szCs w:val="21"/>
              </w:rPr>
              <w:t>　</w:t>
            </w:r>
          </w:p>
        </w:tc>
      </w:tr>
      <w:tr w14:paraId="6CF2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20A7D3D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783" w:type="dxa"/>
            <w:vMerge w:val="continue"/>
            <w:shd w:val="clear" w:color="auto" w:fill="auto"/>
            <w:vAlign w:val="center"/>
          </w:tcPr>
          <w:p w14:paraId="6176E29A">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28E025AF">
            <w:pPr>
              <w:widowControl/>
              <w:jc w:val="center"/>
              <w:rPr>
                <w:rFonts w:ascii="仿宋" w:hAnsi="仿宋" w:eastAsia="仿宋" w:cs="宋体"/>
                <w:color w:val="000000"/>
                <w:kern w:val="0"/>
                <w:szCs w:val="21"/>
              </w:rPr>
            </w:pPr>
          </w:p>
        </w:tc>
        <w:tc>
          <w:tcPr>
            <w:tcW w:w="892" w:type="dxa"/>
            <w:shd w:val="clear" w:color="auto" w:fill="auto"/>
            <w:vAlign w:val="center"/>
          </w:tcPr>
          <w:p w14:paraId="3A12681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东园</w:t>
            </w:r>
          </w:p>
        </w:tc>
        <w:tc>
          <w:tcPr>
            <w:tcW w:w="892" w:type="dxa"/>
            <w:shd w:val="clear" w:color="auto" w:fill="auto"/>
            <w:noWrap/>
            <w:vAlign w:val="center"/>
          </w:tcPr>
          <w:p w14:paraId="6F30191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130</w:t>
            </w:r>
          </w:p>
        </w:tc>
        <w:tc>
          <w:tcPr>
            <w:tcW w:w="1099" w:type="dxa"/>
            <w:vMerge w:val="continue"/>
            <w:shd w:val="clear" w:color="auto" w:fill="auto"/>
            <w:vAlign w:val="center"/>
          </w:tcPr>
          <w:p w14:paraId="233E6B6F">
            <w:pPr>
              <w:widowControl/>
              <w:jc w:val="left"/>
              <w:rPr>
                <w:rFonts w:ascii="仿宋" w:hAnsi="仿宋" w:eastAsia="仿宋" w:cs="宋体"/>
                <w:color w:val="000000"/>
                <w:kern w:val="0"/>
                <w:szCs w:val="21"/>
              </w:rPr>
            </w:pPr>
          </w:p>
        </w:tc>
        <w:tc>
          <w:tcPr>
            <w:tcW w:w="1079" w:type="dxa"/>
            <w:shd w:val="clear" w:color="auto" w:fill="auto"/>
            <w:noWrap/>
            <w:vAlign w:val="bottom"/>
          </w:tcPr>
          <w:p w14:paraId="2CAC351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657DEDA0">
            <w:pPr>
              <w:widowControl/>
              <w:jc w:val="left"/>
              <w:rPr>
                <w:rFonts w:ascii="宋体" w:hAnsi="宋体" w:cs="宋体"/>
                <w:kern w:val="0"/>
                <w:szCs w:val="21"/>
              </w:rPr>
            </w:pPr>
          </w:p>
        </w:tc>
        <w:tc>
          <w:tcPr>
            <w:tcW w:w="1076" w:type="dxa"/>
            <w:shd w:val="clear" w:color="auto" w:fill="auto"/>
            <w:noWrap/>
            <w:vAlign w:val="center"/>
          </w:tcPr>
          <w:p w14:paraId="2B120265">
            <w:pPr>
              <w:widowControl/>
              <w:jc w:val="center"/>
              <w:rPr>
                <w:rFonts w:ascii="宋体" w:hAnsi="宋体" w:cs="宋体"/>
                <w:kern w:val="0"/>
                <w:szCs w:val="21"/>
              </w:rPr>
            </w:pPr>
            <w:r>
              <w:rPr>
                <w:rFonts w:hint="eastAsia" w:ascii="宋体" w:hAnsi="宋体" w:cs="宋体"/>
                <w:kern w:val="0"/>
                <w:szCs w:val="21"/>
              </w:rPr>
              <w:t>　</w:t>
            </w:r>
          </w:p>
        </w:tc>
      </w:tr>
      <w:tr w14:paraId="747F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34CD428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783" w:type="dxa"/>
            <w:vMerge w:val="continue"/>
            <w:shd w:val="clear" w:color="auto" w:fill="auto"/>
            <w:vAlign w:val="center"/>
          </w:tcPr>
          <w:p w14:paraId="417E6E7E">
            <w:pPr>
              <w:widowControl/>
              <w:jc w:val="left"/>
              <w:rPr>
                <w:rFonts w:ascii="仿宋" w:hAnsi="仿宋" w:eastAsia="仿宋" w:cs="宋体"/>
                <w:color w:val="000000"/>
                <w:kern w:val="0"/>
                <w:szCs w:val="21"/>
              </w:rPr>
            </w:pPr>
          </w:p>
        </w:tc>
        <w:tc>
          <w:tcPr>
            <w:tcW w:w="1427" w:type="dxa"/>
            <w:shd w:val="clear" w:color="auto" w:fill="auto"/>
            <w:vAlign w:val="center"/>
          </w:tcPr>
          <w:p w14:paraId="2A61A0C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塔后村民委员会</w:t>
            </w:r>
          </w:p>
        </w:tc>
        <w:tc>
          <w:tcPr>
            <w:tcW w:w="892" w:type="dxa"/>
            <w:shd w:val="clear" w:color="auto" w:fill="auto"/>
            <w:vAlign w:val="center"/>
          </w:tcPr>
          <w:p w14:paraId="7E60E2C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韦厝</w:t>
            </w:r>
          </w:p>
        </w:tc>
        <w:tc>
          <w:tcPr>
            <w:tcW w:w="892" w:type="dxa"/>
            <w:shd w:val="clear" w:color="auto" w:fill="auto"/>
            <w:noWrap/>
            <w:vAlign w:val="center"/>
          </w:tcPr>
          <w:p w14:paraId="65E9D8B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110</w:t>
            </w:r>
          </w:p>
        </w:tc>
        <w:tc>
          <w:tcPr>
            <w:tcW w:w="1099" w:type="dxa"/>
            <w:shd w:val="clear" w:color="auto" w:fill="auto"/>
            <w:vAlign w:val="center"/>
          </w:tcPr>
          <w:p w14:paraId="572CDE0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noWrap/>
            <w:vAlign w:val="bottom"/>
          </w:tcPr>
          <w:p w14:paraId="6F4F30D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4C11E167">
            <w:pPr>
              <w:widowControl/>
              <w:jc w:val="center"/>
              <w:rPr>
                <w:rFonts w:ascii="宋体" w:hAnsi="宋体" w:cs="宋体"/>
                <w:kern w:val="0"/>
                <w:szCs w:val="21"/>
              </w:rPr>
            </w:pPr>
            <w:r>
              <w:rPr>
                <w:rFonts w:hint="eastAsia" w:ascii="宋体" w:hAnsi="宋体" w:cs="宋体"/>
                <w:kern w:val="0"/>
                <w:szCs w:val="21"/>
              </w:rPr>
              <w:t>31</w:t>
            </w:r>
          </w:p>
        </w:tc>
        <w:tc>
          <w:tcPr>
            <w:tcW w:w="1076" w:type="dxa"/>
            <w:shd w:val="clear" w:color="auto" w:fill="auto"/>
            <w:noWrap/>
            <w:vAlign w:val="center"/>
          </w:tcPr>
          <w:p w14:paraId="65010DE6">
            <w:pPr>
              <w:widowControl/>
              <w:jc w:val="center"/>
              <w:rPr>
                <w:rFonts w:ascii="宋体" w:hAnsi="宋体" w:cs="宋体"/>
                <w:kern w:val="0"/>
                <w:szCs w:val="21"/>
              </w:rPr>
            </w:pPr>
            <w:r>
              <w:rPr>
                <w:rFonts w:hint="eastAsia" w:ascii="宋体" w:hAnsi="宋体" w:cs="宋体"/>
                <w:kern w:val="0"/>
                <w:szCs w:val="21"/>
              </w:rPr>
              <w:t>　</w:t>
            </w:r>
          </w:p>
        </w:tc>
      </w:tr>
      <w:tr w14:paraId="5A3F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4A8D618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783" w:type="dxa"/>
            <w:vMerge w:val="continue"/>
            <w:shd w:val="clear" w:color="auto" w:fill="auto"/>
            <w:vAlign w:val="center"/>
          </w:tcPr>
          <w:p w14:paraId="2CE3DFA6">
            <w:pPr>
              <w:widowControl/>
              <w:jc w:val="left"/>
              <w:rPr>
                <w:rFonts w:ascii="仿宋" w:hAnsi="仿宋" w:eastAsia="仿宋" w:cs="宋体"/>
                <w:color w:val="000000"/>
                <w:kern w:val="0"/>
                <w:szCs w:val="21"/>
              </w:rPr>
            </w:pPr>
          </w:p>
        </w:tc>
        <w:tc>
          <w:tcPr>
            <w:tcW w:w="1427" w:type="dxa"/>
            <w:vMerge w:val="restart"/>
            <w:shd w:val="clear" w:color="auto" w:fill="auto"/>
            <w:vAlign w:val="center"/>
          </w:tcPr>
          <w:p w14:paraId="3D07A81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仙田二村民委员会</w:t>
            </w:r>
          </w:p>
        </w:tc>
        <w:tc>
          <w:tcPr>
            <w:tcW w:w="892" w:type="dxa"/>
            <w:shd w:val="clear" w:color="auto" w:fill="auto"/>
            <w:vAlign w:val="center"/>
          </w:tcPr>
          <w:p w14:paraId="69C84A7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马上</w:t>
            </w:r>
          </w:p>
        </w:tc>
        <w:tc>
          <w:tcPr>
            <w:tcW w:w="892" w:type="dxa"/>
            <w:shd w:val="clear" w:color="auto" w:fill="auto"/>
            <w:noWrap/>
            <w:vAlign w:val="center"/>
          </w:tcPr>
          <w:p w14:paraId="43DD24A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479</w:t>
            </w:r>
          </w:p>
        </w:tc>
        <w:tc>
          <w:tcPr>
            <w:tcW w:w="1099" w:type="dxa"/>
            <w:shd w:val="clear" w:color="auto" w:fill="auto"/>
            <w:vAlign w:val="center"/>
          </w:tcPr>
          <w:p w14:paraId="15D3CC5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7953363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0853CB8D">
            <w:pPr>
              <w:widowControl/>
              <w:jc w:val="center"/>
              <w:rPr>
                <w:rFonts w:ascii="宋体" w:hAnsi="宋体" w:cs="宋体"/>
                <w:kern w:val="0"/>
                <w:szCs w:val="21"/>
              </w:rPr>
            </w:pPr>
            <w:r>
              <w:rPr>
                <w:rFonts w:hint="eastAsia" w:ascii="宋体" w:hAnsi="宋体" w:cs="宋体"/>
                <w:kern w:val="0"/>
                <w:szCs w:val="21"/>
              </w:rPr>
              <w:t>347</w:t>
            </w:r>
          </w:p>
        </w:tc>
        <w:tc>
          <w:tcPr>
            <w:tcW w:w="1076" w:type="dxa"/>
            <w:shd w:val="clear" w:color="auto" w:fill="auto"/>
            <w:noWrap/>
            <w:vAlign w:val="center"/>
          </w:tcPr>
          <w:p w14:paraId="11B4A589">
            <w:pPr>
              <w:widowControl/>
              <w:jc w:val="center"/>
              <w:rPr>
                <w:rFonts w:ascii="宋体" w:hAnsi="宋体" w:cs="宋体"/>
                <w:kern w:val="0"/>
                <w:szCs w:val="21"/>
              </w:rPr>
            </w:pPr>
            <w:r>
              <w:rPr>
                <w:rFonts w:hint="eastAsia" w:ascii="宋体" w:hAnsi="宋体" w:cs="宋体"/>
                <w:kern w:val="0"/>
                <w:szCs w:val="21"/>
              </w:rPr>
              <w:t>200</w:t>
            </w:r>
          </w:p>
        </w:tc>
      </w:tr>
      <w:tr w14:paraId="4A3D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44AB1D6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783" w:type="dxa"/>
            <w:vMerge w:val="continue"/>
            <w:shd w:val="clear" w:color="auto" w:fill="auto"/>
            <w:vAlign w:val="center"/>
          </w:tcPr>
          <w:p w14:paraId="7393865A">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7D9622A7">
            <w:pPr>
              <w:widowControl/>
              <w:jc w:val="center"/>
              <w:rPr>
                <w:rFonts w:ascii="仿宋" w:hAnsi="仿宋" w:eastAsia="仿宋" w:cs="宋体"/>
                <w:color w:val="000000"/>
                <w:kern w:val="0"/>
                <w:szCs w:val="21"/>
              </w:rPr>
            </w:pPr>
          </w:p>
        </w:tc>
        <w:tc>
          <w:tcPr>
            <w:tcW w:w="892" w:type="dxa"/>
            <w:shd w:val="clear" w:color="auto" w:fill="auto"/>
            <w:vAlign w:val="center"/>
          </w:tcPr>
          <w:p w14:paraId="03BC598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仙田二</w:t>
            </w:r>
          </w:p>
        </w:tc>
        <w:tc>
          <w:tcPr>
            <w:tcW w:w="892" w:type="dxa"/>
            <w:shd w:val="clear" w:color="auto" w:fill="auto"/>
            <w:noWrap/>
            <w:vAlign w:val="center"/>
          </w:tcPr>
          <w:p w14:paraId="6BC3696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3200</w:t>
            </w:r>
          </w:p>
        </w:tc>
        <w:tc>
          <w:tcPr>
            <w:tcW w:w="1099" w:type="dxa"/>
            <w:shd w:val="clear" w:color="auto" w:fill="auto"/>
            <w:vAlign w:val="center"/>
          </w:tcPr>
          <w:p w14:paraId="42B0958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0B660DF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6532FBCC">
            <w:pPr>
              <w:widowControl/>
              <w:jc w:val="center"/>
              <w:rPr>
                <w:rFonts w:ascii="宋体" w:hAnsi="宋体" w:cs="宋体"/>
                <w:kern w:val="0"/>
                <w:szCs w:val="21"/>
              </w:rPr>
            </w:pPr>
            <w:r>
              <w:rPr>
                <w:rFonts w:hint="eastAsia" w:ascii="宋体" w:hAnsi="宋体" w:cs="宋体"/>
                <w:kern w:val="0"/>
                <w:szCs w:val="21"/>
              </w:rPr>
              <w:t>2812</w:t>
            </w:r>
          </w:p>
        </w:tc>
        <w:tc>
          <w:tcPr>
            <w:tcW w:w="1076" w:type="dxa"/>
            <w:shd w:val="clear" w:color="auto" w:fill="auto"/>
            <w:noWrap/>
            <w:vAlign w:val="center"/>
          </w:tcPr>
          <w:p w14:paraId="6FF2A1FD">
            <w:pPr>
              <w:widowControl/>
              <w:jc w:val="center"/>
              <w:rPr>
                <w:rFonts w:ascii="宋体" w:hAnsi="宋体" w:cs="宋体"/>
                <w:kern w:val="0"/>
                <w:szCs w:val="21"/>
              </w:rPr>
            </w:pPr>
            <w:r>
              <w:rPr>
                <w:rFonts w:hint="eastAsia" w:ascii="宋体" w:hAnsi="宋体" w:cs="宋体"/>
                <w:kern w:val="0"/>
                <w:szCs w:val="21"/>
              </w:rPr>
              <w:t>300</w:t>
            </w:r>
          </w:p>
        </w:tc>
      </w:tr>
      <w:tr w14:paraId="2DAD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7" w:type="dxa"/>
            <w:shd w:val="clear" w:color="auto" w:fill="auto"/>
            <w:noWrap/>
            <w:vAlign w:val="bottom"/>
          </w:tcPr>
          <w:p w14:paraId="2FDD7E6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783" w:type="dxa"/>
            <w:vMerge w:val="continue"/>
            <w:shd w:val="clear" w:color="auto" w:fill="auto"/>
            <w:vAlign w:val="center"/>
          </w:tcPr>
          <w:p w14:paraId="5F468D68">
            <w:pPr>
              <w:widowControl/>
              <w:jc w:val="left"/>
              <w:rPr>
                <w:rFonts w:ascii="仿宋" w:hAnsi="仿宋" w:eastAsia="仿宋" w:cs="宋体"/>
                <w:color w:val="000000"/>
                <w:kern w:val="0"/>
                <w:szCs w:val="21"/>
              </w:rPr>
            </w:pPr>
          </w:p>
        </w:tc>
        <w:tc>
          <w:tcPr>
            <w:tcW w:w="1427" w:type="dxa"/>
            <w:shd w:val="clear" w:color="auto" w:fill="auto"/>
            <w:vAlign w:val="center"/>
          </w:tcPr>
          <w:p w14:paraId="30ABA8C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仙美村民居委会</w:t>
            </w:r>
          </w:p>
        </w:tc>
        <w:tc>
          <w:tcPr>
            <w:tcW w:w="892" w:type="dxa"/>
            <w:shd w:val="clear" w:color="auto" w:fill="auto"/>
            <w:vAlign w:val="center"/>
          </w:tcPr>
          <w:p w14:paraId="44766D2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仙美</w:t>
            </w:r>
          </w:p>
        </w:tc>
        <w:tc>
          <w:tcPr>
            <w:tcW w:w="892" w:type="dxa"/>
            <w:shd w:val="clear" w:color="auto" w:fill="auto"/>
            <w:noWrap/>
            <w:vAlign w:val="center"/>
          </w:tcPr>
          <w:p w14:paraId="0E47288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1694</w:t>
            </w:r>
          </w:p>
        </w:tc>
        <w:tc>
          <w:tcPr>
            <w:tcW w:w="1099" w:type="dxa"/>
            <w:shd w:val="clear" w:color="auto" w:fill="auto"/>
            <w:vAlign w:val="center"/>
          </w:tcPr>
          <w:p w14:paraId="5AE95F1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vAlign w:val="center"/>
          </w:tcPr>
          <w:p w14:paraId="45F2A03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07FA5A05">
            <w:pPr>
              <w:widowControl/>
              <w:jc w:val="center"/>
              <w:rPr>
                <w:rFonts w:ascii="宋体" w:hAnsi="宋体" w:cs="宋体"/>
                <w:kern w:val="0"/>
                <w:szCs w:val="21"/>
              </w:rPr>
            </w:pPr>
            <w:r>
              <w:rPr>
                <w:rFonts w:hint="eastAsia" w:ascii="宋体" w:hAnsi="宋体" w:cs="宋体"/>
                <w:kern w:val="0"/>
                <w:szCs w:val="21"/>
              </w:rPr>
              <w:t>240</w:t>
            </w:r>
          </w:p>
        </w:tc>
        <w:tc>
          <w:tcPr>
            <w:tcW w:w="1076" w:type="dxa"/>
            <w:shd w:val="clear" w:color="auto" w:fill="auto"/>
            <w:noWrap/>
            <w:vAlign w:val="center"/>
          </w:tcPr>
          <w:p w14:paraId="2A5C3015">
            <w:pPr>
              <w:widowControl/>
              <w:jc w:val="center"/>
              <w:rPr>
                <w:rFonts w:ascii="宋体" w:hAnsi="宋体" w:cs="宋体"/>
                <w:kern w:val="0"/>
                <w:szCs w:val="21"/>
              </w:rPr>
            </w:pPr>
            <w:r>
              <w:rPr>
                <w:rFonts w:hint="eastAsia" w:ascii="宋体" w:hAnsi="宋体" w:cs="宋体"/>
                <w:kern w:val="0"/>
                <w:szCs w:val="21"/>
              </w:rPr>
              <w:t>　</w:t>
            </w:r>
          </w:p>
        </w:tc>
      </w:tr>
      <w:tr w14:paraId="4003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7146C40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3" w:type="dxa"/>
            <w:vMerge w:val="restart"/>
            <w:shd w:val="clear" w:color="auto" w:fill="auto"/>
            <w:vAlign w:val="center"/>
          </w:tcPr>
          <w:p w14:paraId="42DAAB4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官塘镇</w:t>
            </w:r>
          </w:p>
        </w:tc>
        <w:tc>
          <w:tcPr>
            <w:tcW w:w="1427" w:type="dxa"/>
            <w:shd w:val="clear" w:color="auto" w:fill="auto"/>
            <w:vAlign w:val="center"/>
          </w:tcPr>
          <w:p w14:paraId="59E9131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石湖村民委员会</w:t>
            </w:r>
          </w:p>
        </w:tc>
        <w:tc>
          <w:tcPr>
            <w:tcW w:w="892" w:type="dxa"/>
            <w:shd w:val="clear" w:color="auto" w:fill="auto"/>
            <w:vAlign w:val="center"/>
          </w:tcPr>
          <w:p w14:paraId="5D8D31F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石湖</w:t>
            </w:r>
          </w:p>
        </w:tc>
        <w:tc>
          <w:tcPr>
            <w:tcW w:w="892" w:type="dxa"/>
            <w:shd w:val="clear" w:color="auto" w:fill="auto"/>
            <w:noWrap/>
            <w:vAlign w:val="center"/>
          </w:tcPr>
          <w:p w14:paraId="0CC2B2D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5318</w:t>
            </w:r>
          </w:p>
        </w:tc>
        <w:tc>
          <w:tcPr>
            <w:tcW w:w="1099" w:type="dxa"/>
            <w:shd w:val="clear" w:color="auto" w:fill="auto"/>
            <w:vAlign w:val="center"/>
          </w:tcPr>
          <w:p w14:paraId="2452A67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11C9C37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restart"/>
            <w:shd w:val="clear" w:color="auto" w:fill="auto"/>
            <w:noWrap/>
            <w:vAlign w:val="center"/>
          </w:tcPr>
          <w:p w14:paraId="045D16C3">
            <w:pPr>
              <w:widowControl/>
              <w:jc w:val="center"/>
              <w:rPr>
                <w:rFonts w:ascii="宋体" w:hAnsi="宋体" w:cs="宋体"/>
                <w:kern w:val="0"/>
                <w:szCs w:val="21"/>
              </w:rPr>
            </w:pPr>
            <w:r>
              <w:rPr>
                <w:rFonts w:hint="eastAsia" w:ascii="宋体" w:hAnsi="宋体" w:cs="宋体"/>
                <w:kern w:val="0"/>
                <w:szCs w:val="21"/>
              </w:rPr>
              <w:t>8912</w:t>
            </w:r>
          </w:p>
        </w:tc>
        <w:tc>
          <w:tcPr>
            <w:tcW w:w="1076" w:type="dxa"/>
            <w:shd w:val="clear" w:color="auto" w:fill="auto"/>
            <w:noWrap/>
            <w:vAlign w:val="center"/>
          </w:tcPr>
          <w:p w14:paraId="023ED87D">
            <w:pPr>
              <w:widowControl/>
              <w:jc w:val="center"/>
              <w:rPr>
                <w:rFonts w:ascii="宋体" w:hAnsi="宋体" w:cs="宋体"/>
                <w:kern w:val="0"/>
                <w:szCs w:val="21"/>
              </w:rPr>
            </w:pPr>
            <w:r>
              <w:rPr>
                <w:rFonts w:hint="eastAsia" w:ascii="宋体" w:hAnsi="宋体" w:cs="宋体"/>
                <w:kern w:val="0"/>
                <w:szCs w:val="21"/>
              </w:rPr>
              <w:t>2400</w:t>
            </w:r>
          </w:p>
        </w:tc>
      </w:tr>
      <w:tr w14:paraId="6E1D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6E30E17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783" w:type="dxa"/>
            <w:vMerge w:val="continue"/>
            <w:shd w:val="clear" w:color="auto" w:fill="auto"/>
            <w:vAlign w:val="center"/>
          </w:tcPr>
          <w:p w14:paraId="64479DED">
            <w:pPr>
              <w:widowControl/>
              <w:jc w:val="left"/>
              <w:rPr>
                <w:rFonts w:ascii="仿宋" w:hAnsi="仿宋" w:eastAsia="仿宋" w:cs="宋体"/>
                <w:color w:val="000000"/>
                <w:kern w:val="0"/>
                <w:szCs w:val="21"/>
              </w:rPr>
            </w:pPr>
          </w:p>
        </w:tc>
        <w:tc>
          <w:tcPr>
            <w:tcW w:w="1427" w:type="dxa"/>
            <w:shd w:val="clear" w:color="auto" w:fill="auto"/>
            <w:vAlign w:val="center"/>
          </w:tcPr>
          <w:p w14:paraId="2A82706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巷下村民委员会</w:t>
            </w:r>
          </w:p>
        </w:tc>
        <w:tc>
          <w:tcPr>
            <w:tcW w:w="892" w:type="dxa"/>
            <w:shd w:val="clear" w:color="auto" w:fill="auto"/>
            <w:vAlign w:val="center"/>
          </w:tcPr>
          <w:p w14:paraId="691E069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巷下</w:t>
            </w:r>
          </w:p>
        </w:tc>
        <w:tc>
          <w:tcPr>
            <w:tcW w:w="892" w:type="dxa"/>
            <w:shd w:val="clear" w:color="auto" w:fill="auto"/>
            <w:noWrap/>
            <w:vAlign w:val="center"/>
          </w:tcPr>
          <w:p w14:paraId="3FEEAD8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3755</w:t>
            </w:r>
          </w:p>
        </w:tc>
        <w:tc>
          <w:tcPr>
            <w:tcW w:w="1099" w:type="dxa"/>
            <w:shd w:val="clear" w:color="auto" w:fill="auto"/>
            <w:vAlign w:val="center"/>
          </w:tcPr>
          <w:p w14:paraId="428437D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655EE92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05226F68">
            <w:pPr>
              <w:widowControl/>
              <w:jc w:val="left"/>
              <w:rPr>
                <w:rFonts w:ascii="宋体" w:hAnsi="宋体" w:cs="宋体"/>
                <w:kern w:val="0"/>
                <w:szCs w:val="21"/>
              </w:rPr>
            </w:pPr>
          </w:p>
        </w:tc>
        <w:tc>
          <w:tcPr>
            <w:tcW w:w="1076" w:type="dxa"/>
            <w:shd w:val="clear" w:color="auto" w:fill="auto"/>
            <w:noWrap/>
            <w:vAlign w:val="center"/>
          </w:tcPr>
          <w:p w14:paraId="1518A926">
            <w:pPr>
              <w:widowControl/>
              <w:jc w:val="center"/>
              <w:rPr>
                <w:rFonts w:ascii="宋体" w:hAnsi="宋体" w:cs="宋体"/>
                <w:kern w:val="0"/>
                <w:szCs w:val="21"/>
              </w:rPr>
            </w:pPr>
            <w:r>
              <w:rPr>
                <w:rFonts w:hint="eastAsia" w:ascii="宋体" w:hAnsi="宋体" w:cs="宋体"/>
                <w:kern w:val="0"/>
                <w:szCs w:val="21"/>
              </w:rPr>
              <w:t>　</w:t>
            </w:r>
          </w:p>
        </w:tc>
      </w:tr>
      <w:tr w14:paraId="3986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08111BE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3" w:type="dxa"/>
            <w:vMerge w:val="continue"/>
            <w:shd w:val="clear" w:color="auto" w:fill="auto"/>
            <w:vAlign w:val="center"/>
          </w:tcPr>
          <w:p w14:paraId="1367BBD8">
            <w:pPr>
              <w:widowControl/>
              <w:jc w:val="left"/>
              <w:rPr>
                <w:rFonts w:ascii="仿宋" w:hAnsi="仿宋" w:eastAsia="仿宋" w:cs="宋体"/>
                <w:color w:val="000000"/>
                <w:kern w:val="0"/>
                <w:szCs w:val="21"/>
              </w:rPr>
            </w:pPr>
          </w:p>
        </w:tc>
        <w:tc>
          <w:tcPr>
            <w:tcW w:w="1427" w:type="dxa"/>
            <w:shd w:val="clear" w:color="auto" w:fill="auto"/>
            <w:vAlign w:val="center"/>
          </w:tcPr>
          <w:p w14:paraId="0D9E01E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巷头村民委员会</w:t>
            </w:r>
          </w:p>
        </w:tc>
        <w:tc>
          <w:tcPr>
            <w:tcW w:w="892" w:type="dxa"/>
            <w:shd w:val="clear" w:color="auto" w:fill="auto"/>
            <w:vAlign w:val="center"/>
          </w:tcPr>
          <w:p w14:paraId="01BC73E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巷头</w:t>
            </w:r>
          </w:p>
        </w:tc>
        <w:tc>
          <w:tcPr>
            <w:tcW w:w="892" w:type="dxa"/>
            <w:shd w:val="clear" w:color="auto" w:fill="auto"/>
            <w:noWrap/>
            <w:vAlign w:val="center"/>
          </w:tcPr>
          <w:p w14:paraId="35B7557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2591</w:t>
            </w:r>
          </w:p>
        </w:tc>
        <w:tc>
          <w:tcPr>
            <w:tcW w:w="1099" w:type="dxa"/>
            <w:shd w:val="clear" w:color="auto" w:fill="auto"/>
            <w:vAlign w:val="center"/>
          </w:tcPr>
          <w:p w14:paraId="555662F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6E1F791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48746B20">
            <w:pPr>
              <w:widowControl/>
              <w:jc w:val="center"/>
              <w:rPr>
                <w:rFonts w:ascii="宋体" w:hAnsi="宋体" w:cs="宋体"/>
                <w:kern w:val="0"/>
                <w:szCs w:val="21"/>
              </w:rPr>
            </w:pPr>
            <w:r>
              <w:rPr>
                <w:rFonts w:hint="eastAsia" w:ascii="宋体" w:hAnsi="宋体" w:cs="宋体"/>
                <w:kern w:val="0"/>
                <w:szCs w:val="21"/>
              </w:rPr>
              <w:t>1111</w:t>
            </w:r>
          </w:p>
        </w:tc>
        <w:tc>
          <w:tcPr>
            <w:tcW w:w="1076" w:type="dxa"/>
            <w:shd w:val="clear" w:color="auto" w:fill="auto"/>
            <w:noWrap/>
            <w:vAlign w:val="center"/>
          </w:tcPr>
          <w:p w14:paraId="353E7E79">
            <w:pPr>
              <w:widowControl/>
              <w:jc w:val="center"/>
              <w:rPr>
                <w:rFonts w:ascii="宋体" w:hAnsi="宋体" w:cs="宋体"/>
                <w:kern w:val="0"/>
                <w:szCs w:val="21"/>
              </w:rPr>
            </w:pPr>
            <w:r>
              <w:rPr>
                <w:rFonts w:hint="eastAsia" w:ascii="宋体" w:hAnsi="宋体" w:cs="宋体"/>
                <w:kern w:val="0"/>
                <w:szCs w:val="21"/>
              </w:rPr>
              <w:t>500</w:t>
            </w:r>
          </w:p>
        </w:tc>
      </w:tr>
      <w:tr w14:paraId="67A6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97" w:type="dxa"/>
            <w:shd w:val="clear" w:color="auto" w:fill="auto"/>
            <w:noWrap/>
            <w:vAlign w:val="bottom"/>
          </w:tcPr>
          <w:p w14:paraId="7D7E520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3" w:type="dxa"/>
            <w:vMerge w:val="continue"/>
            <w:shd w:val="clear" w:color="auto" w:fill="auto"/>
            <w:vAlign w:val="center"/>
          </w:tcPr>
          <w:p w14:paraId="721EB9B3">
            <w:pPr>
              <w:widowControl/>
              <w:jc w:val="left"/>
              <w:rPr>
                <w:rFonts w:ascii="仿宋" w:hAnsi="仿宋" w:eastAsia="仿宋" w:cs="宋体"/>
                <w:color w:val="000000"/>
                <w:kern w:val="0"/>
                <w:szCs w:val="21"/>
              </w:rPr>
            </w:pPr>
          </w:p>
        </w:tc>
        <w:tc>
          <w:tcPr>
            <w:tcW w:w="1427" w:type="dxa"/>
            <w:shd w:val="clear" w:color="auto" w:fill="auto"/>
            <w:vAlign w:val="center"/>
          </w:tcPr>
          <w:p w14:paraId="1FC7075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象山村民委员会</w:t>
            </w:r>
          </w:p>
        </w:tc>
        <w:tc>
          <w:tcPr>
            <w:tcW w:w="892" w:type="dxa"/>
            <w:shd w:val="clear" w:color="auto" w:fill="auto"/>
            <w:vAlign w:val="center"/>
          </w:tcPr>
          <w:p w14:paraId="317112B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象山</w:t>
            </w:r>
          </w:p>
        </w:tc>
        <w:tc>
          <w:tcPr>
            <w:tcW w:w="892" w:type="dxa"/>
            <w:shd w:val="clear" w:color="auto" w:fill="auto"/>
            <w:noWrap/>
            <w:vAlign w:val="center"/>
          </w:tcPr>
          <w:p w14:paraId="59E87B6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1570</w:t>
            </w:r>
          </w:p>
        </w:tc>
        <w:tc>
          <w:tcPr>
            <w:tcW w:w="1099" w:type="dxa"/>
            <w:shd w:val="clear" w:color="auto" w:fill="auto"/>
            <w:vAlign w:val="center"/>
          </w:tcPr>
          <w:p w14:paraId="46D2243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vAlign w:val="center"/>
          </w:tcPr>
          <w:p w14:paraId="06C3FBA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27999C1F">
            <w:pPr>
              <w:widowControl/>
              <w:jc w:val="center"/>
              <w:rPr>
                <w:rFonts w:ascii="宋体" w:hAnsi="宋体" w:cs="宋体"/>
                <w:kern w:val="0"/>
                <w:szCs w:val="21"/>
              </w:rPr>
            </w:pPr>
            <w:r>
              <w:rPr>
                <w:rFonts w:hint="eastAsia" w:ascii="宋体" w:hAnsi="宋体" w:cs="宋体"/>
                <w:kern w:val="0"/>
                <w:szCs w:val="21"/>
              </w:rPr>
              <w:t>0</w:t>
            </w:r>
          </w:p>
        </w:tc>
        <w:tc>
          <w:tcPr>
            <w:tcW w:w="1076" w:type="dxa"/>
            <w:shd w:val="clear" w:color="auto" w:fill="auto"/>
            <w:noWrap/>
            <w:vAlign w:val="center"/>
          </w:tcPr>
          <w:p w14:paraId="4B07070F">
            <w:pPr>
              <w:widowControl/>
              <w:jc w:val="center"/>
              <w:rPr>
                <w:rFonts w:ascii="宋体" w:hAnsi="宋体" w:cs="宋体"/>
                <w:kern w:val="0"/>
                <w:szCs w:val="21"/>
              </w:rPr>
            </w:pPr>
            <w:r>
              <w:rPr>
                <w:rFonts w:hint="eastAsia" w:ascii="宋体" w:hAnsi="宋体" w:cs="宋体"/>
                <w:kern w:val="0"/>
                <w:szCs w:val="21"/>
              </w:rPr>
              <w:t>　</w:t>
            </w:r>
          </w:p>
        </w:tc>
      </w:tr>
      <w:tr w14:paraId="5C88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0160A0E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783" w:type="dxa"/>
            <w:vMerge w:val="continue"/>
            <w:shd w:val="clear" w:color="auto" w:fill="auto"/>
            <w:vAlign w:val="center"/>
          </w:tcPr>
          <w:p w14:paraId="7308B193">
            <w:pPr>
              <w:widowControl/>
              <w:jc w:val="left"/>
              <w:rPr>
                <w:rFonts w:ascii="仿宋" w:hAnsi="仿宋" w:eastAsia="仿宋" w:cs="宋体"/>
                <w:color w:val="000000"/>
                <w:kern w:val="0"/>
                <w:szCs w:val="21"/>
              </w:rPr>
            </w:pPr>
          </w:p>
        </w:tc>
        <w:tc>
          <w:tcPr>
            <w:tcW w:w="1427" w:type="dxa"/>
            <w:shd w:val="clear" w:color="auto" w:fill="auto"/>
            <w:vAlign w:val="center"/>
          </w:tcPr>
          <w:p w14:paraId="2F914C7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元房村民委员会</w:t>
            </w:r>
          </w:p>
        </w:tc>
        <w:tc>
          <w:tcPr>
            <w:tcW w:w="892" w:type="dxa"/>
            <w:shd w:val="clear" w:color="auto" w:fill="auto"/>
            <w:vAlign w:val="center"/>
          </w:tcPr>
          <w:p w14:paraId="742E499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溪头</w:t>
            </w:r>
          </w:p>
        </w:tc>
        <w:tc>
          <w:tcPr>
            <w:tcW w:w="892" w:type="dxa"/>
            <w:shd w:val="clear" w:color="auto" w:fill="auto"/>
            <w:noWrap/>
            <w:vAlign w:val="center"/>
          </w:tcPr>
          <w:p w14:paraId="2ECAFF9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1099" w:type="dxa"/>
            <w:shd w:val="clear" w:color="auto" w:fill="auto"/>
            <w:vAlign w:val="center"/>
          </w:tcPr>
          <w:p w14:paraId="3CBB87D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noWrap/>
            <w:vAlign w:val="bottom"/>
          </w:tcPr>
          <w:p w14:paraId="015709F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0327024F">
            <w:pPr>
              <w:widowControl/>
              <w:jc w:val="center"/>
              <w:rPr>
                <w:rFonts w:ascii="宋体" w:hAnsi="宋体" w:cs="宋体"/>
                <w:kern w:val="0"/>
                <w:szCs w:val="21"/>
              </w:rPr>
            </w:pPr>
            <w:r>
              <w:rPr>
                <w:rFonts w:hint="eastAsia" w:ascii="宋体" w:hAnsi="宋体" w:cs="宋体"/>
                <w:kern w:val="0"/>
                <w:szCs w:val="21"/>
              </w:rPr>
              <w:t>377</w:t>
            </w:r>
          </w:p>
        </w:tc>
        <w:tc>
          <w:tcPr>
            <w:tcW w:w="1076" w:type="dxa"/>
            <w:shd w:val="clear" w:color="auto" w:fill="auto"/>
            <w:noWrap/>
            <w:vAlign w:val="center"/>
          </w:tcPr>
          <w:p w14:paraId="0A904A8C">
            <w:pPr>
              <w:widowControl/>
              <w:jc w:val="center"/>
              <w:rPr>
                <w:rFonts w:ascii="宋体" w:hAnsi="宋体" w:cs="宋体"/>
                <w:kern w:val="0"/>
                <w:szCs w:val="21"/>
              </w:rPr>
            </w:pPr>
            <w:r>
              <w:rPr>
                <w:rFonts w:hint="eastAsia" w:ascii="宋体" w:hAnsi="宋体" w:cs="宋体"/>
                <w:kern w:val="0"/>
                <w:szCs w:val="21"/>
              </w:rPr>
              <w:t>　</w:t>
            </w:r>
          </w:p>
        </w:tc>
      </w:tr>
      <w:tr w14:paraId="4386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011C9B1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3" w:type="dxa"/>
            <w:vMerge w:val="restart"/>
            <w:shd w:val="clear" w:color="auto" w:fill="auto"/>
            <w:vAlign w:val="center"/>
          </w:tcPr>
          <w:p w14:paraId="4175BB9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铁铺镇</w:t>
            </w:r>
          </w:p>
        </w:tc>
        <w:tc>
          <w:tcPr>
            <w:tcW w:w="1427" w:type="dxa"/>
            <w:shd w:val="clear" w:color="auto" w:fill="auto"/>
            <w:vAlign w:val="center"/>
          </w:tcPr>
          <w:p w14:paraId="5CAB20B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坎下村民委员会</w:t>
            </w:r>
          </w:p>
        </w:tc>
        <w:tc>
          <w:tcPr>
            <w:tcW w:w="892" w:type="dxa"/>
            <w:shd w:val="clear" w:color="auto" w:fill="auto"/>
            <w:vAlign w:val="center"/>
          </w:tcPr>
          <w:p w14:paraId="2C1412D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坎下</w:t>
            </w:r>
          </w:p>
        </w:tc>
        <w:tc>
          <w:tcPr>
            <w:tcW w:w="892" w:type="dxa"/>
            <w:shd w:val="clear" w:color="auto" w:fill="auto"/>
            <w:noWrap/>
            <w:vAlign w:val="center"/>
          </w:tcPr>
          <w:p w14:paraId="192442B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2100</w:t>
            </w:r>
          </w:p>
        </w:tc>
        <w:tc>
          <w:tcPr>
            <w:tcW w:w="1099" w:type="dxa"/>
            <w:shd w:val="clear" w:color="auto" w:fill="auto"/>
            <w:vAlign w:val="center"/>
          </w:tcPr>
          <w:p w14:paraId="1F2104B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50BE687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33BBBAB0">
            <w:pPr>
              <w:widowControl/>
              <w:jc w:val="center"/>
              <w:rPr>
                <w:rFonts w:ascii="宋体" w:hAnsi="宋体" w:cs="宋体"/>
                <w:kern w:val="0"/>
                <w:szCs w:val="21"/>
              </w:rPr>
            </w:pPr>
            <w:r>
              <w:rPr>
                <w:rFonts w:hint="eastAsia" w:ascii="宋体" w:hAnsi="宋体" w:cs="宋体"/>
                <w:kern w:val="0"/>
                <w:szCs w:val="21"/>
              </w:rPr>
              <w:t>1824</w:t>
            </w:r>
          </w:p>
        </w:tc>
        <w:tc>
          <w:tcPr>
            <w:tcW w:w="1076" w:type="dxa"/>
            <w:shd w:val="clear" w:color="auto" w:fill="auto"/>
            <w:noWrap/>
            <w:vAlign w:val="center"/>
          </w:tcPr>
          <w:p w14:paraId="43F5B0A7">
            <w:pPr>
              <w:widowControl/>
              <w:jc w:val="center"/>
              <w:rPr>
                <w:rFonts w:ascii="宋体" w:hAnsi="宋体" w:cs="宋体"/>
                <w:kern w:val="0"/>
                <w:szCs w:val="21"/>
              </w:rPr>
            </w:pPr>
            <w:r>
              <w:rPr>
                <w:rFonts w:hint="eastAsia" w:ascii="宋体" w:hAnsi="宋体" w:cs="宋体"/>
                <w:kern w:val="0"/>
                <w:szCs w:val="21"/>
              </w:rPr>
              <w:t>200</w:t>
            </w:r>
          </w:p>
        </w:tc>
      </w:tr>
      <w:tr w14:paraId="6660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262ABAB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783" w:type="dxa"/>
            <w:vMerge w:val="continue"/>
            <w:shd w:val="clear" w:color="auto" w:fill="auto"/>
            <w:vAlign w:val="center"/>
          </w:tcPr>
          <w:p w14:paraId="50494516">
            <w:pPr>
              <w:widowControl/>
              <w:jc w:val="left"/>
              <w:rPr>
                <w:rFonts w:ascii="仿宋" w:hAnsi="仿宋" w:eastAsia="仿宋" w:cs="宋体"/>
                <w:color w:val="000000"/>
                <w:kern w:val="0"/>
                <w:szCs w:val="21"/>
              </w:rPr>
            </w:pPr>
          </w:p>
        </w:tc>
        <w:tc>
          <w:tcPr>
            <w:tcW w:w="1427" w:type="dxa"/>
            <w:shd w:val="clear" w:color="auto" w:fill="auto"/>
            <w:vAlign w:val="center"/>
          </w:tcPr>
          <w:p w14:paraId="25EC319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坑巷村民委员会</w:t>
            </w:r>
          </w:p>
        </w:tc>
        <w:tc>
          <w:tcPr>
            <w:tcW w:w="892" w:type="dxa"/>
            <w:shd w:val="clear" w:color="auto" w:fill="auto"/>
            <w:vAlign w:val="center"/>
          </w:tcPr>
          <w:p w14:paraId="7137241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坑巷</w:t>
            </w:r>
          </w:p>
        </w:tc>
        <w:tc>
          <w:tcPr>
            <w:tcW w:w="892" w:type="dxa"/>
            <w:shd w:val="clear" w:color="auto" w:fill="auto"/>
            <w:noWrap/>
            <w:vAlign w:val="center"/>
          </w:tcPr>
          <w:p w14:paraId="6B70E6C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1182</w:t>
            </w:r>
          </w:p>
        </w:tc>
        <w:tc>
          <w:tcPr>
            <w:tcW w:w="1099" w:type="dxa"/>
            <w:shd w:val="clear" w:color="auto" w:fill="auto"/>
            <w:vAlign w:val="center"/>
          </w:tcPr>
          <w:p w14:paraId="6551C7A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0D64C1B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6D682281">
            <w:pPr>
              <w:widowControl/>
              <w:jc w:val="center"/>
              <w:rPr>
                <w:rFonts w:ascii="宋体" w:hAnsi="宋体" w:cs="宋体"/>
                <w:kern w:val="0"/>
                <w:szCs w:val="21"/>
              </w:rPr>
            </w:pPr>
            <w:r>
              <w:rPr>
                <w:rFonts w:hint="eastAsia" w:ascii="宋体" w:hAnsi="宋体" w:cs="宋体"/>
                <w:kern w:val="0"/>
                <w:szCs w:val="21"/>
              </w:rPr>
              <w:t>2562</w:t>
            </w:r>
          </w:p>
        </w:tc>
        <w:tc>
          <w:tcPr>
            <w:tcW w:w="1076" w:type="dxa"/>
            <w:shd w:val="clear" w:color="auto" w:fill="auto"/>
            <w:noWrap/>
            <w:vAlign w:val="center"/>
          </w:tcPr>
          <w:p w14:paraId="4F00A254">
            <w:pPr>
              <w:widowControl/>
              <w:jc w:val="center"/>
              <w:rPr>
                <w:rFonts w:ascii="宋体" w:hAnsi="宋体" w:cs="宋体"/>
                <w:kern w:val="0"/>
                <w:szCs w:val="21"/>
              </w:rPr>
            </w:pPr>
            <w:r>
              <w:rPr>
                <w:rFonts w:hint="eastAsia" w:ascii="宋体" w:hAnsi="宋体" w:cs="宋体"/>
                <w:kern w:val="0"/>
                <w:szCs w:val="21"/>
              </w:rPr>
              <w:t>200</w:t>
            </w:r>
          </w:p>
        </w:tc>
      </w:tr>
      <w:tr w14:paraId="3BA7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168D1CA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3" w:type="dxa"/>
            <w:vMerge w:val="continue"/>
            <w:shd w:val="clear" w:color="auto" w:fill="auto"/>
            <w:vAlign w:val="center"/>
          </w:tcPr>
          <w:p w14:paraId="3E92165A">
            <w:pPr>
              <w:widowControl/>
              <w:jc w:val="left"/>
              <w:rPr>
                <w:rFonts w:ascii="仿宋" w:hAnsi="仿宋" w:eastAsia="仿宋" w:cs="宋体"/>
                <w:color w:val="000000"/>
                <w:kern w:val="0"/>
                <w:szCs w:val="21"/>
              </w:rPr>
            </w:pPr>
          </w:p>
        </w:tc>
        <w:tc>
          <w:tcPr>
            <w:tcW w:w="1427" w:type="dxa"/>
            <w:vMerge w:val="restart"/>
            <w:shd w:val="clear" w:color="auto" w:fill="auto"/>
            <w:vAlign w:val="center"/>
          </w:tcPr>
          <w:p w14:paraId="05705E0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铺埔村民委员会</w:t>
            </w:r>
          </w:p>
          <w:p w14:paraId="42D4ED04">
            <w:pPr>
              <w:jc w:val="center"/>
              <w:rPr>
                <w:rFonts w:ascii="仿宋" w:hAnsi="仿宋" w:eastAsia="仿宋" w:cs="宋体"/>
                <w:color w:val="000000"/>
                <w:kern w:val="0"/>
                <w:szCs w:val="21"/>
              </w:rPr>
            </w:pPr>
          </w:p>
        </w:tc>
        <w:tc>
          <w:tcPr>
            <w:tcW w:w="892" w:type="dxa"/>
            <w:shd w:val="clear" w:color="auto" w:fill="auto"/>
            <w:vAlign w:val="center"/>
          </w:tcPr>
          <w:p w14:paraId="7D95998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上埔</w:t>
            </w:r>
          </w:p>
        </w:tc>
        <w:tc>
          <w:tcPr>
            <w:tcW w:w="892" w:type="dxa"/>
            <w:shd w:val="clear" w:color="auto" w:fill="auto"/>
            <w:noWrap/>
            <w:vAlign w:val="center"/>
          </w:tcPr>
          <w:p w14:paraId="6F30B40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3178</w:t>
            </w:r>
          </w:p>
        </w:tc>
        <w:tc>
          <w:tcPr>
            <w:tcW w:w="1099" w:type="dxa"/>
            <w:shd w:val="clear" w:color="auto" w:fill="auto"/>
            <w:vAlign w:val="center"/>
          </w:tcPr>
          <w:p w14:paraId="3A77497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0D4AE4E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0D3C3701">
            <w:pPr>
              <w:widowControl/>
              <w:jc w:val="center"/>
              <w:rPr>
                <w:rFonts w:ascii="宋体" w:hAnsi="宋体" w:cs="宋体"/>
                <w:kern w:val="0"/>
                <w:szCs w:val="21"/>
              </w:rPr>
            </w:pPr>
            <w:r>
              <w:rPr>
                <w:rFonts w:hint="eastAsia" w:ascii="宋体" w:hAnsi="宋体" w:cs="宋体"/>
                <w:kern w:val="0"/>
                <w:szCs w:val="21"/>
              </w:rPr>
              <w:t>3978</w:t>
            </w:r>
          </w:p>
        </w:tc>
        <w:tc>
          <w:tcPr>
            <w:tcW w:w="1076" w:type="dxa"/>
            <w:shd w:val="clear" w:color="auto" w:fill="auto"/>
            <w:noWrap/>
            <w:vAlign w:val="center"/>
          </w:tcPr>
          <w:p w14:paraId="5A16E6F8">
            <w:pPr>
              <w:widowControl/>
              <w:jc w:val="center"/>
              <w:rPr>
                <w:rFonts w:ascii="宋体" w:hAnsi="宋体" w:cs="宋体"/>
                <w:kern w:val="0"/>
                <w:szCs w:val="21"/>
              </w:rPr>
            </w:pPr>
            <w:r>
              <w:rPr>
                <w:rFonts w:hint="eastAsia" w:ascii="宋体" w:hAnsi="宋体" w:cs="宋体"/>
                <w:kern w:val="0"/>
                <w:szCs w:val="21"/>
              </w:rPr>
              <w:t>200</w:t>
            </w:r>
          </w:p>
        </w:tc>
      </w:tr>
      <w:tr w14:paraId="3A37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2ADD7E3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3" w:type="dxa"/>
            <w:vMerge w:val="continue"/>
            <w:shd w:val="clear" w:color="auto" w:fill="auto"/>
            <w:vAlign w:val="center"/>
          </w:tcPr>
          <w:p w14:paraId="0E402CDF">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4F062A86">
            <w:pPr>
              <w:widowControl/>
              <w:jc w:val="center"/>
              <w:rPr>
                <w:rFonts w:ascii="仿宋" w:hAnsi="仿宋" w:eastAsia="仿宋" w:cs="宋体"/>
                <w:color w:val="000000"/>
                <w:kern w:val="0"/>
                <w:szCs w:val="21"/>
              </w:rPr>
            </w:pPr>
          </w:p>
        </w:tc>
        <w:tc>
          <w:tcPr>
            <w:tcW w:w="892" w:type="dxa"/>
            <w:shd w:val="clear" w:color="auto" w:fill="auto"/>
            <w:vAlign w:val="center"/>
          </w:tcPr>
          <w:p w14:paraId="3A9A236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下埔</w:t>
            </w:r>
          </w:p>
        </w:tc>
        <w:tc>
          <w:tcPr>
            <w:tcW w:w="892" w:type="dxa"/>
            <w:shd w:val="clear" w:color="auto" w:fill="auto"/>
            <w:noWrap/>
            <w:vAlign w:val="center"/>
          </w:tcPr>
          <w:p w14:paraId="464D269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1246</w:t>
            </w:r>
          </w:p>
        </w:tc>
        <w:tc>
          <w:tcPr>
            <w:tcW w:w="1099" w:type="dxa"/>
            <w:shd w:val="clear" w:color="auto" w:fill="auto"/>
            <w:vAlign w:val="center"/>
          </w:tcPr>
          <w:p w14:paraId="18CF737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698C42B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44E834B5">
            <w:pPr>
              <w:widowControl/>
              <w:jc w:val="center"/>
              <w:rPr>
                <w:rFonts w:ascii="宋体" w:hAnsi="宋体" w:cs="宋体"/>
                <w:kern w:val="0"/>
                <w:szCs w:val="21"/>
              </w:rPr>
            </w:pPr>
            <w:r>
              <w:rPr>
                <w:rFonts w:hint="eastAsia" w:ascii="宋体" w:hAnsi="宋体" w:cs="宋体"/>
                <w:kern w:val="0"/>
                <w:szCs w:val="21"/>
              </w:rPr>
              <w:t>903</w:t>
            </w:r>
          </w:p>
        </w:tc>
        <w:tc>
          <w:tcPr>
            <w:tcW w:w="1076" w:type="dxa"/>
            <w:shd w:val="clear" w:color="auto" w:fill="auto"/>
            <w:noWrap/>
            <w:vAlign w:val="center"/>
          </w:tcPr>
          <w:p w14:paraId="1B3ACF82">
            <w:pPr>
              <w:widowControl/>
              <w:jc w:val="center"/>
              <w:rPr>
                <w:rFonts w:ascii="宋体" w:hAnsi="宋体" w:cs="宋体"/>
                <w:kern w:val="0"/>
                <w:szCs w:val="21"/>
              </w:rPr>
            </w:pPr>
            <w:r>
              <w:rPr>
                <w:rFonts w:hint="eastAsia" w:ascii="宋体" w:hAnsi="宋体" w:cs="宋体"/>
                <w:kern w:val="0"/>
                <w:szCs w:val="21"/>
              </w:rPr>
              <w:t>300</w:t>
            </w:r>
          </w:p>
        </w:tc>
      </w:tr>
      <w:tr w14:paraId="215B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7D57FDC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783" w:type="dxa"/>
            <w:vMerge w:val="continue"/>
            <w:shd w:val="clear" w:color="auto" w:fill="auto"/>
            <w:vAlign w:val="center"/>
          </w:tcPr>
          <w:p w14:paraId="33AF6973">
            <w:pPr>
              <w:widowControl/>
              <w:jc w:val="left"/>
              <w:rPr>
                <w:rFonts w:ascii="仿宋" w:hAnsi="仿宋" w:eastAsia="仿宋" w:cs="宋体"/>
                <w:color w:val="000000"/>
                <w:kern w:val="0"/>
                <w:szCs w:val="21"/>
              </w:rPr>
            </w:pPr>
          </w:p>
        </w:tc>
        <w:tc>
          <w:tcPr>
            <w:tcW w:w="1427" w:type="dxa"/>
            <w:shd w:val="clear" w:color="auto" w:fill="auto"/>
            <w:vAlign w:val="center"/>
          </w:tcPr>
          <w:p w14:paraId="6B6D366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东山前村民委员会</w:t>
            </w:r>
          </w:p>
        </w:tc>
        <w:tc>
          <w:tcPr>
            <w:tcW w:w="892" w:type="dxa"/>
            <w:shd w:val="clear" w:color="auto" w:fill="auto"/>
            <w:vAlign w:val="center"/>
          </w:tcPr>
          <w:p w14:paraId="57CD985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东山前</w:t>
            </w:r>
          </w:p>
        </w:tc>
        <w:tc>
          <w:tcPr>
            <w:tcW w:w="892" w:type="dxa"/>
            <w:shd w:val="clear" w:color="auto" w:fill="auto"/>
            <w:vAlign w:val="center"/>
          </w:tcPr>
          <w:p w14:paraId="05590F3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300</w:t>
            </w:r>
          </w:p>
        </w:tc>
        <w:tc>
          <w:tcPr>
            <w:tcW w:w="1099" w:type="dxa"/>
            <w:shd w:val="clear" w:color="auto" w:fill="auto"/>
            <w:vAlign w:val="center"/>
          </w:tcPr>
          <w:p w14:paraId="44A9051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现状人工湿地</w:t>
            </w:r>
          </w:p>
        </w:tc>
        <w:tc>
          <w:tcPr>
            <w:tcW w:w="1079" w:type="dxa"/>
            <w:shd w:val="clear" w:color="auto" w:fill="auto"/>
            <w:vAlign w:val="center"/>
          </w:tcPr>
          <w:p w14:paraId="233472C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60</w:t>
            </w:r>
          </w:p>
        </w:tc>
        <w:tc>
          <w:tcPr>
            <w:tcW w:w="948" w:type="dxa"/>
            <w:shd w:val="clear" w:color="auto" w:fill="auto"/>
            <w:noWrap/>
            <w:vAlign w:val="center"/>
          </w:tcPr>
          <w:p w14:paraId="2E253EED">
            <w:pPr>
              <w:widowControl/>
              <w:jc w:val="center"/>
              <w:rPr>
                <w:rFonts w:ascii="宋体" w:hAnsi="宋体" w:cs="宋体"/>
                <w:kern w:val="0"/>
                <w:szCs w:val="21"/>
              </w:rPr>
            </w:pPr>
            <w:r>
              <w:rPr>
                <w:rFonts w:hint="eastAsia" w:ascii="宋体" w:hAnsi="宋体" w:cs="宋体"/>
                <w:kern w:val="0"/>
                <w:szCs w:val="21"/>
              </w:rPr>
              <w:t>370</w:t>
            </w:r>
          </w:p>
        </w:tc>
        <w:tc>
          <w:tcPr>
            <w:tcW w:w="1076" w:type="dxa"/>
            <w:shd w:val="clear" w:color="auto" w:fill="auto"/>
            <w:noWrap/>
            <w:vAlign w:val="center"/>
          </w:tcPr>
          <w:p w14:paraId="65EBC7C3">
            <w:pPr>
              <w:widowControl/>
              <w:jc w:val="center"/>
              <w:rPr>
                <w:rFonts w:ascii="宋体" w:hAnsi="宋体" w:cs="宋体"/>
                <w:kern w:val="0"/>
                <w:szCs w:val="21"/>
              </w:rPr>
            </w:pPr>
            <w:r>
              <w:rPr>
                <w:rFonts w:hint="eastAsia" w:ascii="宋体" w:hAnsi="宋体" w:cs="宋体"/>
                <w:kern w:val="0"/>
                <w:szCs w:val="21"/>
              </w:rPr>
              <w:t>200</w:t>
            </w:r>
          </w:p>
        </w:tc>
      </w:tr>
      <w:tr w14:paraId="4D21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4BF72D6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783" w:type="dxa"/>
            <w:vMerge w:val="continue"/>
            <w:shd w:val="clear" w:color="auto" w:fill="auto"/>
            <w:vAlign w:val="center"/>
          </w:tcPr>
          <w:p w14:paraId="6496630C">
            <w:pPr>
              <w:widowControl/>
              <w:jc w:val="left"/>
              <w:rPr>
                <w:rFonts w:ascii="仿宋" w:hAnsi="仿宋" w:eastAsia="仿宋" w:cs="宋体"/>
                <w:color w:val="000000"/>
                <w:kern w:val="0"/>
                <w:szCs w:val="21"/>
              </w:rPr>
            </w:pPr>
          </w:p>
        </w:tc>
        <w:tc>
          <w:tcPr>
            <w:tcW w:w="1427" w:type="dxa"/>
            <w:shd w:val="clear" w:color="auto" w:fill="auto"/>
            <w:vAlign w:val="center"/>
          </w:tcPr>
          <w:p w14:paraId="7862A2E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五乡村民委员会</w:t>
            </w:r>
          </w:p>
        </w:tc>
        <w:tc>
          <w:tcPr>
            <w:tcW w:w="892" w:type="dxa"/>
            <w:shd w:val="clear" w:color="auto" w:fill="auto"/>
            <w:vAlign w:val="center"/>
          </w:tcPr>
          <w:p w14:paraId="7B0FF55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尾寨</w:t>
            </w:r>
          </w:p>
        </w:tc>
        <w:tc>
          <w:tcPr>
            <w:tcW w:w="892" w:type="dxa"/>
            <w:shd w:val="clear" w:color="auto" w:fill="auto"/>
            <w:vAlign w:val="center"/>
          </w:tcPr>
          <w:p w14:paraId="2E4510C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200</w:t>
            </w:r>
          </w:p>
        </w:tc>
        <w:tc>
          <w:tcPr>
            <w:tcW w:w="1099" w:type="dxa"/>
            <w:shd w:val="clear" w:color="auto" w:fill="auto"/>
            <w:vAlign w:val="center"/>
          </w:tcPr>
          <w:p w14:paraId="2AA0B4D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现状人工湿地</w:t>
            </w:r>
          </w:p>
        </w:tc>
        <w:tc>
          <w:tcPr>
            <w:tcW w:w="1079" w:type="dxa"/>
            <w:shd w:val="clear" w:color="auto" w:fill="auto"/>
            <w:vAlign w:val="center"/>
          </w:tcPr>
          <w:p w14:paraId="7245CE0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45</w:t>
            </w:r>
          </w:p>
        </w:tc>
        <w:tc>
          <w:tcPr>
            <w:tcW w:w="948" w:type="dxa"/>
            <w:shd w:val="clear" w:color="auto" w:fill="auto"/>
            <w:noWrap/>
            <w:vAlign w:val="center"/>
          </w:tcPr>
          <w:p w14:paraId="7AFDD867">
            <w:pPr>
              <w:widowControl/>
              <w:jc w:val="center"/>
              <w:rPr>
                <w:rFonts w:ascii="宋体" w:hAnsi="宋体" w:cs="宋体"/>
                <w:kern w:val="0"/>
                <w:szCs w:val="21"/>
              </w:rPr>
            </w:pPr>
            <w:r>
              <w:rPr>
                <w:rFonts w:hint="eastAsia" w:ascii="宋体" w:hAnsi="宋体" w:cs="宋体"/>
                <w:kern w:val="0"/>
                <w:szCs w:val="21"/>
              </w:rPr>
              <w:t>0</w:t>
            </w:r>
          </w:p>
        </w:tc>
        <w:tc>
          <w:tcPr>
            <w:tcW w:w="1076" w:type="dxa"/>
            <w:shd w:val="clear" w:color="auto" w:fill="auto"/>
            <w:noWrap/>
            <w:vAlign w:val="center"/>
          </w:tcPr>
          <w:p w14:paraId="7763DCFA">
            <w:pPr>
              <w:widowControl/>
              <w:jc w:val="center"/>
              <w:rPr>
                <w:rFonts w:ascii="宋体" w:hAnsi="宋体" w:cs="宋体"/>
                <w:kern w:val="0"/>
                <w:szCs w:val="21"/>
              </w:rPr>
            </w:pPr>
            <w:r>
              <w:rPr>
                <w:rFonts w:hint="eastAsia" w:ascii="宋体" w:hAnsi="宋体" w:cs="宋体"/>
                <w:kern w:val="0"/>
                <w:szCs w:val="21"/>
              </w:rPr>
              <w:t>100</w:t>
            </w:r>
          </w:p>
        </w:tc>
      </w:tr>
      <w:tr w14:paraId="21F9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14DAEF3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783" w:type="dxa"/>
            <w:vMerge w:val="continue"/>
            <w:shd w:val="clear" w:color="auto" w:fill="auto"/>
            <w:vAlign w:val="center"/>
          </w:tcPr>
          <w:p w14:paraId="2E16C6AD">
            <w:pPr>
              <w:widowControl/>
              <w:jc w:val="left"/>
              <w:rPr>
                <w:rFonts w:ascii="仿宋" w:hAnsi="仿宋" w:eastAsia="仿宋" w:cs="宋体"/>
                <w:color w:val="000000"/>
                <w:kern w:val="0"/>
                <w:szCs w:val="21"/>
              </w:rPr>
            </w:pPr>
          </w:p>
        </w:tc>
        <w:tc>
          <w:tcPr>
            <w:tcW w:w="1427" w:type="dxa"/>
            <w:vMerge w:val="restart"/>
            <w:shd w:val="clear" w:color="auto" w:fill="auto"/>
            <w:vAlign w:val="center"/>
          </w:tcPr>
          <w:p w14:paraId="3AD0A43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仙岩村民委员会</w:t>
            </w:r>
          </w:p>
        </w:tc>
        <w:tc>
          <w:tcPr>
            <w:tcW w:w="892" w:type="dxa"/>
            <w:shd w:val="clear" w:color="auto" w:fill="auto"/>
            <w:vAlign w:val="center"/>
          </w:tcPr>
          <w:p w14:paraId="7138320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仙岩</w:t>
            </w:r>
          </w:p>
        </w:tc>
        <w:tc>
          <w:tcPr>
            <w:tcW w:w="892" w:type="dxa"/>
            <w:shd w:val="clear" w:color="auto" w:fill="auto"/>
            <w:vAlign w:val="center"/>
          </w:tcPr>
          <w:p w14:paraId="13E55B1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700</w:t>
            </w:r>
          </w:p>
        </w:tc>
        <w:tc>
          <w:tcPr>
            <w:tcW w:w="1099" w:type="dxa"/>
            <w:shd w:val="clear" w:color="auto" w:fill="auto"/>
            <w:vAlign w:val="center"/>
          </w:tcPr>
          <w:p w14:paraId="60E5568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现状人工湿地</w:t>
            </w:r>
          </w:p>
        </w:tc>
        <w:tc>
          <w:tcPr>
            <w:tcW w:w="1079" w:type="dxa"/>
            <w:shd w:val="clear" w:color="auto" w:fill="auto"/>
            <w:vAlign w:val="center"/>
          </w:tcPr>
          <w:p w14:paraId="59346D1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150</w:t>
            </w:r>
          </w:p>
        </w:tc>
        <w:tc>
          <w:tcPr>
            <w:tcW w:w="948" w:type="dxa"/>
            <w:vMerge w:val="restart"/>
            <w:shd w:val="clear" w:color="auto" w:fill="auto"/>
            <w:noWrap/>
            <w:vAlign w:val="center"/>
          </w:tcPr>
          <w:p w14:paraId="4B49666A">
            <w:pPr>
              <w:widowControl/>
              <w:jc w:val="center"/>
              <w:rPr>
                <w:rFonts w:ascii="宋体" w:hAnsi="宋体" w:cs="宋体"/>
                <w:kern w:val="0"/>
                <w:szCs w:val="21"/>
              </w:rPr>
            </w:pPr>
            <w:r>
              <w:rPr>
                <w:rFonts w:hint="eastAsia" w:ascii="宋体" w:hAnsi="宋体" w:cs="宋体"/>
                <w:kern w:val="0"/>
                <w:szCs w:val="21"/>
              </w:rPr>
              <w:t>1600</w:t>
            </w:r>
          </w:p>
        </w:tc>
        <w:tc>
          <w:tcPr>
            <w:tcW w:w="1076" w:type="dxa"/>
            <w:shd w:val="clear" w:color="auto" w:fill="auto"/>
            <w:noWrap/>
            <w:vAlign w:val="center"/>
          </w:tcPr>
          <w:p w14:paraId="59EADBA7">
            <w:pPr>
              <w:widowControl/>
              <w:jc w:val="center"/>
              <w:rPr>
                <w:rFonts w:ascii="宋体" w:hAnsi="宋体" w:cs="宋体"/>
                <w:kern w:val="0"/>
                <w:szCs w:val="21"/>
              </w:rPr>
            </w:pPr>
            <w:r>
              <w:rPr>
                <w:rFonts w:hint="eastAsia" w:ascii="宋体" w:hAnsi="宋体" w:cs="宋体"/>
                <w:kern w:val="0"/>
                <w:szCs w:val="21"/>
              </w:rPr>
              <w:t>2200</w:t>
            </w:r>
          </w:p>
        </w:tc>
      </w:tr>
      <w:tr w14:paraId="05FF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7D81AE7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783" w:type="dxa"/>
            <w:vMerge w:val="continue"/>
            <w:shd w:val="clear" w:color="auto" w:fill="auto"/>
            <w:vAlign w:val="center"/>
          </w:tcPr>
          <w:p w14:paraId="7310162D">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4B2FA6AC">
            <w:pPr>
              <w:widowControl/>
              <w:jc w:val="left"/>
              <w:rPr>
                <w:rFonts w:ascii="仿宋" w:hAnsi="仿宋" w:eastAsia="仿宋" w:cs="宋体"/>
                <w:color w:val="000000"/>
                <w:kern w:val="0"/>
                <w:szCs w:val="21"/>
              </w:rPr>
            </w:pPr>
          </w:p>
        </w:tc>
        <w:tc>
          <w:tcPr>
            <w:tcW w:w="892" w:type="dxa"/>
            <w:shd w:val="clear" w:color="auto" w:fill="auto"/>
            <w:vAlign w:val="center"/>
          </w:tcPr>
          <w:p w14:paraId="7E19E4B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才厚</w:t>
            </w:r>
          </w:p>
        </w:tc>
        <w:tc>
          <w:tcPr>
            <w:tcW w:w="892" w:type="dxa"/>
            <w:shd w:val="clear" w:color="auto" w:fill="auto"/>
            <w:noWrap/>
            <w:vAlign w:val="center"/>
          </w:tcPr>
          <w:p w14:paraId="4268C86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490</w:t>
            </w:r>
          </w:p>
        </w:tc>
        <w:tc>
          <w:tcPr>
            <w:tcW w:w="1099" w:type="dxa"/>
            <w:shd w:val="clear" w:color="auto" w:fill="auto"/>
            <w:vAlign w:val="center"/>
          </w:tcPr>
          <w:p w14:paraId="48DC013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vAlign w:val="center"/>
          </w:tcPr>
          <w:p w14:paraId="3B26610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4A646A02">
            <w:pPr>
              <w:widowControl/>
              <w:jc w:val="left"/>
              <w:rPr>
                <w:rFonts w:ascii="宋体" w:hAnsi="宋体" w:cs="宋体"/>
                <w:kern w:val="0"/>
                <w:szCs w:val="21"/>
              </w:rPr>
            </w:pPr>
          </w:p>
        </w:tc>
        <w:tc>
          <w:tcPr>
            <w:tcW w:w="1076" w:type="dxa"/>
            <w:shd w:val="clear" w:color="auto" w:fill="auto"/>
            <w:noWrap/>
            <w:vAlign w:val="center"/>
          </w:tcPr>
          <w:p w14:paraId="0943B83B">
            <w:pPr>
              <w:widowControl/>
              <w:jc w:val="center"/>
              <w:rPr>
                <w:rFonts w:ascii="宋体" w:hAnsi="宋体" w:cs="宋体"/>
                <w:kern w:val="0"/>
                <w:szCs w:val="21"/>
              </w:rPr>
            </w:pPr>
            <w:r>
              <w:rPr>
                <w:rFonts w:hint="eastAsia" w:ascii="宋体" w:hAnsi="宋体" w:cs="宋体"/>
                <w:kern w:val="0"/>
                <w:szCs w:val="21"/>
              </w:rPr>
              <w:t>　</w:t>
            </w:r>
          </w:p>
        </w:tc>
      </w:tr>
      <w:tr w14:paraId="6CF1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301266D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783" w:type="dxa"/>
            <w:vMerge w:val="continue"/>
            <w:shd w:val="clear" w:color="auto" w:fill="auto"/>
            <w:vAlign w:val="center"/>
          </w:tcPr>
          <w:p w14:paraId="4D0148CF">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45531832">
            <w:pPr>
              <w:widowControl/>
              <w:jc w:val="left"/>
              <w:rPr>
                <w:rFonts w:ascii="仿宋" w:hAnsi="仿宋" w:eastAsia="仿宋" w:cs="宋体"/>
                <w:color w:val="000000"/>
                <w:kern w:val="0"/>
                <w:szCs w:val="21"/>
              </w:rPr>
            </w:pPr>
          </w:p>
        </w:tc>
        <w:tc>
          <w:tcPr>
            <w:tcW w:w="892" w:type="dxa"/>
            <w:shd w:val="clear" w:color="auto" w:fill="auto"/>
            <w:vAlign w:val="center"/>
          </w:tcPr>
          <w:p w14:paraId="1FD41EB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黎邦</w:t>
            </w:r>
          </w:p>
        </w:tc>
        <w:tc>
          <w:tcPr>
            <w:tcW w:w="892" w:type="dxa"/>
            <w:shd w:val="clear" w:color="auto" w:fill="auto"/>
            <w:noWrap/>
            <w:vAlign w:val="center"/>
          </w:tcPr>
          <w:p w14:paraId="27AA2EB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w:t>
            </w:r>
          </w:p>
        </w:tc>
        <w:tc>
          <w:tcPr>
            <w:tcW w:w="1099" w:type="dxa"/>
            <w:shd w:val="clear" w:color="auto" w:fill="auto"/>
            <w:vAlign w:val="center"/>
          </w:tcPr>
          <w:p w14:paraId="46CDED3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vAlign w:val="center"/>
          </w:tcPr>
          <w:p w14:paraId="6512BB5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1AAAAAD7">
            <w:pPr>
              <w:widowControl/>
              <w:jc w:val="left"/>
              <w:rPr>
                <w:rFonts w:ascii="宋体" w:hAnsi="宋体" w:cs="宋体"/>
                <w:kern w:val="0"/>
                <w:szCs w:val="21"/>
              </w:rPr>
            </w:pPr>
          </w:p>
        </w:tc>
        <w:tc>
          <w:tcPr>
            <w:tcW w:w="1076" w:type="dxa"/>
            <w:shd w:val="clear" w:color="auto" w:fill="auto"/>
            <w:noWrap/>
            <w:vAlign w:val="center"/>
          </w:tcPr>
          <w:p w14:paraId="2068BB98">
            <w:pPr>
              <w:widowControl/>
              <w:jc w:val="center"/>
              <w:rPr>
                <w:rFonts w:ascii="宋体" w:hAnsi="宋体" w:cs="宋体"/>
                <w:kern w:val="0"/>
                <w:szCs w:val="21"/>
              </w:rPr>
            </w:pPr>
            <w:r>
              <w:rPr>
                <w:rFonts w:hint="eastAsia" w:ascii="宋体" w:hAnsi="宋体" w:cs="宋体"/>
                <w:kern w:val="0"/>
                <w:szCs w:val="21"/>
              </w:rPr>
              <w:t>　</w:t>
            </w:r>
          </w:p>
        </w:tc>
      </w:tr>
      <w:tr w14:paraId="46B9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08C6316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783" w:type="dxa"/>
            <w:vMerge w:val="continue"/>
            <w:shd w:val="clear" w:color="auto" w:fill="auto"/>
            <w:vAlign w:val="center"/>
          </w:tcPr>
          <w:p w14:paraId="36629D6E">
            <w:pPr>
              <w:widowControl/>
              <w:jc w:val="left"/>
              <w:rPr>
                <w:rFonts w:ascii="仿宋" w:hAnsi="仿宋" w:eastAsia="仿宋" w:cs="宋体"/>
                <w:color w:val="000000"/>
                <w:kern w:val="0"/>
                <w:szCs w:val="21"/>
              </w:rPr>
            </w:pPr>
          </w:p>
        </w:tc>
        <w:tc>
          <w:tcPr>
            <w:tcW w:w="1427" w:type="dxa"/>
            <w:shd w:val="clear" w:color="auto" w:fill="auto"/>
            <w:vAlign w:val="center"/>
          </w:tcPr>
          <w:p w14:paraId="003E4A5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梅州板村民委员会</w:t>
            </w:r>
          </w:p>
        </w:tc>
        <w:tc>
          <w:tcPr>
            <w:tcW w:w="892" w:type="dxa"/>
            <w:shd w:val="clear" w:color="auto" w:fill="auto"/>
            <w:vAlign w:val="center"/>
          </w:tcPr>
          <w:p w14:paraId="70B6F37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梅州板</w:t>
            </w:r>
          </w:p>
        </w:tc>
        <w:tc>
          <w:tcPr>
            <w:tcW w:w="892" w:type="dxa"/>
            <w:shd w:val="clear" w:color="auto" w:fill="auto"/>
            <w:noWrap/>
            <w:vAlign w:val="center"/>
          </w:tcPr>
          <w:p w14:paraId="35A668A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230</w:t>
            </w:r>
          </w:p>
        </w:tc>
        <w:tc>
          <w:tcPr>
            <w:tcW w:w="1099" w:type="dxa"/>
            <w:shd w:val="clear" w:color="auto" w:fill="auto"/>
            <w:vAlign w:val="center"/>
          </w:tcPr>
          <w:p w14:paraId="4C0AC4A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现状人工湿地</w:t>
            </w:r>
          </w:p>
        </w:tc>
        <w:tc>
          <w:tcPr>
            <w:tcW w:w="1079" w:type="dxa"/>
            <w:shd w:val="clear" w:color="auto" w:fill="auto"/>
            <w:vAlign w:val="center"/>
          </w:tcPr>
          <w:p w14:paraId="54266A7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50</w:t>
            </w:r>
          </w:p>
        </w:tc>
        <w:tc>
          <w:tcPr>
            <w:tcW w:w="948" w:type="dxa"/>
            <w:vMerge w:val="continue"/>
            <w:shd w:val="clear" w:color="auto" w:fill="auto"/>
            <w:vAlign w:val="center"/>
          </w:tcPr>
          <w:p w14:paraId="60D05656">
            <w:pPr>
              <w:widowControl/>
              <w:jc w:val="left"/>
              <w:rPr>
                <w:rFonts w:ascii="宋体" w:hAnsi="宋体" w:cs="宋体"/>
                <w:kern w:val="0"/>
                <w:szCs w:val="21"/>
              </w:rPr>
            </w:pPr>
          </w:p>
        </w:tc>
        <w:tc>
          <w:tcPr>
            <w:tcW w:w="1076" w:type="dxa"/>
            <w:shd w:val="clear" w:color="auto" w:fill="auto"/>
            <w:noWrap/>
            <w:vAlign w:val="center"/>
          </w:tcPr>
          <w:p w14:paraId="338D1708">
            <w:pPr>
              <w:widowControl/>
              <w:jc w:val="center"/>
              <w:rPr>
                <w:rFonts w:ascii="宋体" w:hAnsi="宋体" w:cs="宋体"/>
                <w:kern w:val="0"/>
                <w:szCs w:val="21"/>
              </w:rPr>
            </w:pPr>
            <w:r>
              <w:rPr>
                <w:rFonts w:hint="eastAsia" w:ascii="宋体" w:hAnsi="宋体" w:cs="宋体"/>
                <w:kern w:val="0"/>
                <w:szCs w:val="21"/>
              </w:rPr>
              <w:t>　</w:t>
            </w:r>
          </w:p>
        </w:tc>
      </w:tr>
      <w:tr w14:paraId="23A1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4F277A9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783" w:type="dxa"/>
            <w:vMerge w:val="continue"/>
            <w:shd w:val="clear" w:color="auto" w:fill="auto"/>
            <w:vAlign w:val="center"/>
          </w:tcPr>
          <w:p w14:paraId="389666A5">
            <w:pPr>
              <w:widowControl/>
              <w:jc w:val="left"/>
              <w:rPr>
                <w:rFonts w:ascii="仿宋" w:hAnsi="仿宋" w:eastAsia="仿宋" w:cs="宋体"/>
                <w:color w:val="000000"/>
                <w:kern w:val="0"/>
                <w:szCs w:val="21"/>
              </w:rPr>
            </w:pPr>
          </w:p>
        </w:tc>
        <w:tc>
          <w:tcPr>
            <w:tcW w:w="1427" w:type="dxa"/>
            <w:vMerge w:val="restart"/>
            <w:shd w:val="clear" w:color="auto" w:fill="auto"/>
            <w:vAlign w:val="center"/>
          </w:tcPr>
          <w:p w14:paraId="7CEC8A7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大坑村民委员会</w:t>
            </w:r>
          </w:p>
        </w:tc>
        <w:tc>
          <w:tcPr>
            <w:tcW w:w="892" w:type="dxa"/>
            <w:shd w:val="clear" w:color="auto" w:fill="auto"/>
            <w:vAlign w:val="center"/>
          </w:tcPr>
          <w:p w14:paraId="19894F8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詹厝</w:t>
            </w:r>
          </w:p>
        </w:tc>
        <w:tc>
          <w:tcPr>
            <w:tcW w:w="892" w:type="dxa"/>
            <w:shd w:val="clear" w:color="auto" w:fill="auto"/>
            <w:noWrap/>
            <w:vAlign w:val="center"/>
          </w:tcPr>
          <w:p w14:paraId="43BD96F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50</w:t>
            </w:r>
          </w:p>
        </w:tc>
        <w:tc>
          <w:tcPr>
            <w:tcW w:w="1099" w:type="dxa"/>
            <w:shd w:val="clear" w:color="auto" w:fill="auto"/>
            <w:vAlign w:val="center"/>
          </w:tcPr>
          <w:p w14:paraId="5B56155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现状人工湿地</w:t>
            </w:r>
          </w:p>
        </w:tc>
        <w:tc>
          <w:tcPr>
            <w:tcW w:w="1079" w:type="dxa"/>
            <w:shd w:val="clear" w:color="auto" w:fill="auto"/>
            <w:vAlign w:val="center"/>
          </w:tcPr>
          <w:p w14:paraId="107CA11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45</w:t>
            </w:r>
          </w:p>
        </w:tc>
        <w:tc>
          <w:tcPr>
            <w:tcW w:w="948" w:type="dxa"/>
            <w:vMerge w:val="continue"/>
            <w:shd w:val="clear" w:color="auto" w:fill="auto"/>
            <w:vAlign w:val="center"/>
          </w:tcPr>
          <w:p w14:paraId="183DA377">
            <w:pPr>
              <w:widowControl/>
              <w:jc w:val="left"/>
              <w:rPr>
                <w:rFonts w:ascii="宋体" w:hAnsi="宋体" w:cs="宋体"/>
                <w:kern w:val="0"/>
                <w:szCs w:val="21"/>
              </w:rPr>
            </w:pPr>
          </w:p>
        </w:tc>
        <w:tc>
          <w:tcPr>
            <w:tcW w:w="1076" w:type="dxa"/>
            <w:shd w:val="clear" w:color="auto" w:fill="auto"/>
            <w:noWrap/>
            <w:vAlign w:val="center"/>
          </w:tcPr>
          <w:p w14:paraId="0FB4BC1D">
            <w:pPr>
              <w:widowControl/>
              <w:jc w:val="center"/>
              <w:rPr>
                <w:rFonts w:ascii="宋体" w:hAnsi="宋体" w:cs="宋体"/>
                <w:kern w:val="0"/>
                <w:szCs w:val="21"/>
              </w:rPr>
            </w:pPr>
            <w:r>
              <w:rPr>
                <w:rFonts w:hint="eastAsia" w:ascii="宋体" w:hAnsi="宋体" w:cs="宋体"/>
                <w:kern w:val="0"/>
                <w:szCs w:val="21"/>
              </w:rPr>
              <w:t>　</w:t>
            </w:r>
          </w:p>
        </w:tc>
      </w:tr>
      <w:tr w14:paraId="32B8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001ED83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783" w:type="dxa"/>
            <w:vMerge w:val="continue"/>
            <w:shd w:val="clear" w:color="auto" w:fill="auto"/>
            <w:vAlign w:val="center"/>
          </w:tcPr>
          <w:p w14:paraId="3A5A5867">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36FE42C2">
            <w:pPr>
              <w:widowControl/>
              <w:jc w:val="left"/>
              <w:rPr>
                <w:rFonts w:ascii="仿宋" w:hAnsi="仿宋" w:eastAsia="仿宋" w:cs="宋体"/>
                <w:color w:val="000000"/>
                <w:kern w:val="0"/>
                <w:szCs w:val="21"/>
              </w:rPr>
            </w:pPr>
          </w:p>
        </w:tc>
        <w:tc>
          <w:tcPr>
            <w:tcW w:w="892" w:type="dxa"/>
            <w:shd w:val="clear" w:color="auto" w:fill="auto"/>
            <w:vAlign w:val="center"/>
          </w:tcPr>
          <w:p w14:paraId="5353DE7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林厝</w:t>
            </w:r>
          </w:p>
        </w:tc>
        <w:tc>
          <w:tcPr>
            <w:tcW w:w="892" w:type="dxa"/>
            <w:shd w:val="clear" w:color="auto" w:fill="auto"/>
            <w:noWrap/>
            <w:vAlign w:val="center"/>
          </w:tcPr>
          <w:p w14:paraId="5389B0A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223</w:t>
            </w:r>
          </w:p>
        </w:tc>
        <w:tc>
          <w:tcPr>
            <w:tcW w:w="1099" w:type="dxa"/>
            <w:shd w:val="clear" w:color="auto" w:fill="auto"/>
            <w:vAlign w:val="center"/>
          </w:tcPr>
          <w:p w14:paraId="644BC0F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vAlign w:val="center"/>
          </w:tcPr>
          <w:p w14:paraId="49361DE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3C259815">
            <w:pPr>
              <w:widowControl/>
              <w:jc w:val="left"/>
              <w:rPr>
                <w:rFonts w:ascii="宋体" w:hAnsi="宋体" w:cs="宋体"/>
                <w:kern w:val="0"/>
                <w:szCs w:val="21"/>
              </w:rPr>
            </w:pPr>
          </w:p>
        </w:tc>
        <w:tc>
          <w:tcPr>
            <w:tcW w:w="1076" w:type="dxa"/>
            <w:shd w:val="clear" w:color="auto" w:fill="auto"/>
            <w:noWrap/>
            <w:vAlign w:val="center"/>
          </w:tcPr>
          <w:p w14:paraId="094838D2">
            <w:pPr>
              <w:widowControl/>
              <w:jc w:val="center"/>
              <w:rPr>
                <w:rFonts w:ascii="宋体" w:hAnsi="宋体" w:cs="宋体"/>
                <w:kern w:val="0"/>
                <w:szCs w:val="21"/>
              </w:rPr>
            </w:pPr>
            <w:r>
              <w:rPr>
                <w:rFonts w:hint="eastAsia" w:ascii="宋体" w:hAnsi="宋体" w:cs="宋体"/>
                <w:kern w:val="0"/>
                <w:szCs w:val="21"/>
              </w:rPr>
              <w:t>　</w:t>
            </w:r>
          </w:p>
        </w:tc>
      </w:tr>
      <w:tr w14:paraId="015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6BF7241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w:t>
            </w:r>
          </w:p>
        </w:tc>
        <w:tc>
          <w:tcPr>
            <w:tcW w:w="783" w:type="dxa"/>
            <w:vMerge w:val="continue"/>
            <w:shd w:val="clear" w:color="auto" w:fill="auto"/>
            <w:vAlign w:val="center"/>
          </w:tcPr>
          <w:p w14:paraId="0331B499">
            <w:pPr>
              <w:widowControl/>
              <w:jc w:val="left"/>
              <w:rPr>
                <w:rFonts w:ascii="仿宋" w:hAnsi="仿宋" w:eastAsia="仿宋" w:cs="宋体"/>
                <w:color w:val="000000"/>
                <w:kern w:val="0"/>
                <w:szCs w:val="21"/>
              </w:rPr>
            </w:pPr>
          </w:p>
        </w:tc>
        <w:tc>
          <w:tcPr>
            <w:tcW w:w="1427" w:type="dxa"/>
            <w:vMerge w:val="restart"/>
            <w:shd w:val="clear" w:color="auto" w:fill="auto"/>
            <w:vAlign w:val="center"/>
          </w:tcPr>
          <w:p w14:paraId="24EA047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石板村民委员会</w:t>
            </w:r>
          </w:p>
        </w:tc>
        <w:tc>
          <w:tcPr>
            <w:tcW w:w="892" w:type="dxa"/>
            <w:shd w:val="clear" w:color="auto" w:fill="auto"/>
            <w:vAlign w:val="center"/>
          </w:tcPr>
          <w:p w14:paraId="40B9E32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石板</w:t>
            </w:r>
          </w:p>
        </w:tc>
        <w:tc>
          <w:tcPr>
            <w:tcW w:w="892" w:type="dxa"/>
            <w:shd w:val="clear" w:color="auto" w:fill="auto"/>
            <w:noWrap/>
            <w:vAlign w:val="center"/>
          </w:tcPr>
          <w:p w14:paraId="364C608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910</w:t>
            </w:r>
          </w:p>
        </w:tc>
        <w:tc>
          <w:tcPr>
            <w:tcW w:w="1099" w:type="dxa"/>
            <w:shd w:val="clear" w:color="auto" w:fill="auto"/>
            <w:vAlign w:val="center"/>
          </w:tcPr>
          <w:p w14:paraId="2B20039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0635BA6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563DBEE3">
            <w:pPr>
              <w:widowControl/>
              <w:jc w:val="center"/>
              <w:rPr>
                <w:rFonts w:ascii="宋体" w:hAnsi="宋体" w:cs="宋体"/>
                <w:kern w:val="0"/>
                <w:szCs w:val="21"/>
              </w:rPr>
            </w:pPr>
            <w:r>
              <w:rPr>
                <w:rFonts w:hint="eastAsia" w:ascii="宋体" w:hAnsi="宋体" w:cs="宋体"/>
                <w:kern w:val="0"/>
                <w:szCs w:val="21"/>
              </w:rPr>
              <w:t>447</w:t>
            </w:r>
          </w:p>
        </w:tc>
        <w:tc>
          <w:tcPr>
            <w:tcW w:w="1076" w:type="dxa"/>
            <w:shd w:val="clear" w:color="auto" w:fill="auto"/>
            <w:noWrap/>
            <w:vAlign w:val="center"/>
          </w:tcPr>
          <w:p w14:paraId="19D0FBC2">
            <w:pPr>
              <w:widowControl/>
              <w:jc w:val="center"/>
              <w:rPr>
                <w:rFonts w:ascii="宋体" w:hAnsi="宋体" w:cs="宋体"/>
                <w:kern w:val="0"/>
                <w:szCs w:val="21"/>
              </w:rPr>
            </w:pPr>
            <w:r>
              <w:rPr>
                <w:rFonts w:hint="eastAsia" w:ascii="宋体" w:hAnsi="宋体" w:cs="宋体"/>
                <w:kern w:val="0"/>
                <w:szCs w:val="21"/>
              </w:rPr>
              <w:t>100</w:t>
            </w:r>
          </w:p>
        </w:tc>
      </w:tr>
      <w:tr w14:paraId="5627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03AEDBE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14</w:t>
            </w:r>
          </w:p>
        </w:tc>
        <w:tc>
          <w:tcPr>
            <w:tcW w:w="783" w:type="dxa"/>
            <w:vMerge w:val="continue"/>
            <w:shd w:val="clear" w:color="auto" w:fill="auto"/>
            <w:vAlign w:val="center"/>
          </w:tcPr>
          <w:p w14:paraId="6636B097">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5B21725E">
            <w:pPr>
              <w:widowControl/>
              <w:jc w:val="center"/>
              <w:rPr>
                <w:rFonts w:ascii="仿宋" w:hAnsi="仿宋" w:eastAsia="仿宋" w:cs="宋体"/>
                <w:color w:val="000000"/>
                <w:kern w:val="0"/>
                <w:szCs w:val="21"/>
              </w:rPr>
            </w:pPr>
          </w:p>
        </w:tc>
        <w:tc>
          <w:tcPr>
            <w:tcW w:w="892" w:type="dxa"/>
            <w:shd w:val="clear" w:color="auto" w:fill="auto"/>
            <w:vAlign w:val="center"/>
          </w:tcPr>
          <w:p w14:paraId="2D2D751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桃林篮</w:t>
            </w:r>
          </w:p>
        </w:tc>
        <w:tc>
          <w:tcPr>
            <w:tcW w:w="892" w:type="dxa"/>
            <w:shd w:val="clear" w:color="auto" w:fill="auto"/>
            <w:noWrap/>
            <w:vAlign w:val="center"/>
          </w:tcPr>
          <w:p w14:paraId="43F2A1C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130</w:t>
            </w:r>
          </w:p>
        </w:tc>
        <w:tc>
          <w:tcPr>
            <w:tcW w:w="1099" w:type="dxa"/>
            <w:shd w:val="clear" w:color="auto" w:fill="auto"/>
            <w:vAlign w:val="center"/>
          </w:tcPr>
          <w:p w14:paraId="4E34B9F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57CE0EF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17201CD4">
            <w:pPr>
              <w:widowControl/>
              <w:jc w:val="center"/>
              <w:rPr>
                <w:rFonts w:ascii="宋体" w:hAnsi="宋体" w:cs="宋体"/>
                <w:kern w:val="0"/>
                <w:szCs w:val="21"/>
              </w:rPr>
            </w:pPr>
            <w:r>
              <w:rPr>
                <w:rFonts w:hint="eastAsia" w:ascii="宋体" w:hAnsi="宋体" w:cs="宋体"/>
                <w:kern w:val="0"/>
                <w:szCs w:val="21"/>
              </w:rPr>
              <w:t>712</w:t>
            </w:r>
          </w:p>
        </w:tc>
        <w:tc>
          <w:tcPr>
            <w:tcW w:w="1076" w:type="dxa"/>
            <w:shd w:val="clear" w:color="auto" w:fill="auto"/>
            <w:noWrap/>
            <w:vAlign w:val="center"/>
          </w:tcPr>
          <w:p w14:paraId="45FEAC5C">
            <w:pPr>
              <w:widowControl/>
              <w:jc w:val="center"/>
              <w:rPr>
                <w:rFonts w:ascii="宋体" w:hAnsi="宋体" w:cs="宋体"/>
                <w:kern w:val="0"/>
                <w:szCs w:val="21"/>
              </w:rPr>
            </w:pPr>
            <w:r>
              <w:rPr>
                <w:rFonts w:hint="eastAsia" w:ascii="宋体" w:hAnsi="宋体" w:cs="宋体"/>
                <w:kern w:val="0"/>
                <w:szCs w:val="21"/>
              </w:rPr>
              <w:t>100</w:t>
            </w:r>
          </w:p>
        </w:tc>
      </w:tr>
      <w:tr w14:paraId="38C5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3518285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783" w:type="dxa"/>
            <w:vMerge w:val="continue"/>
            <w:shd w:val="clear" w:color="auto" w:fill="auto"/>
            <w:vAlign w:val="center"/>
          </w:tcPr>
          <w:p w14:paraId="7ACFC759">
            <w:pPr>
              <w:widowControl/>
              <w:jc w:val="left"/>
              <w:rPr>
                <w:rFonts w:ascii="仿宋" w:hAnsi="仿宋" w:eastAsia="仿宋" w:cs="宋体"/>
                <w:color w:val="000000"/>
                <w:kern w:val="0"/>
                <w:szCs w:val="21"/>
              </w:rPr>
            </w:pPr>
          </w:p>
        </w:tc>
        <w:tc>
          <w:tcPr>
            <w:tcW w:w="1427" w:type="dxa"/>
            <w:vMerge w:val="restart"/>
            <w:shd w:val="clear" w:color="auto" w:fill="auto"/>
            <w:vAlign w:val="center"/>
          </w:tcPr>
          <w:p w14:paraId="101FA15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嫌水坑村民委员会</w:t>
            </w:r>
          </w:p>
          <w:p w14:paraId="287C36D5">
            <w:pPr>
              <w:jc w:val="center"/>
              <w:rPr>
                <w:rFonts w:ascii="仿宋" w:hAnsi="仿宋" w:eastAsia="仿宋" w:cs="宋体"/>
                <w:color w:val="000000"/>
                <w:kern w:val="0"/>
                <w:szCs w:val="21"/>
              </w:rPr>
            </w:pPr>
          </w:p>
        </w:tc>
        <w:tc>
          <w:tcPr>
            <w:tcW w:w="892" w:type="dxa"/>
            <w:shd w:val="clear" w:color="auto" w:fill="auto"/>
            <w:vAlign w:val="center"/>
          </w:tcPr>
          <w:p w14:paraId="405048C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林厝</w:t>
            </w:r>
          </w:p>
        </w:tc>
        <w:tc>
          <w:tcPr>
            <w:tcW w:w="892" w:type="dxa"/>
            <w:shd w:val="clear" w:color="auto" w:fill="auto"/>
            <w:vAlign w:val="center"/>
          </w:tcPr>
          <w:p w14:paraId="63047AA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408</w:t>
            </w:r>
          </w:p>
        </w:tc>
        <w:tc>
          <w:tcPr>
            <w:tcW w:w="1099" w:type="dxa"/>
            <w:shd w:val="clear" w:color="auto" w:fill="auto"/>
            <w:vAlign w:val="center"/>
          </w:tcPr>
          <w:p w14:paraId="3DE2C87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现状人工湿地</w:t>
            </w:r>
          </w:p>
        </w:tc>
        <w:tc>
          <w:tcPr>
            <w:tcW w:w="1079" w:type="dxa"/>
            <w:shd w:val="clear" w:color="auto" w:fill="auto"/>
            <w:vAlign w:val="center"/>
          </w:tcPr>
          <w:p w14:paraId="4030541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60</w:t>
            </w:r>
          </w:p>
        </w:tc>
        <w:tc>
          <w:tcPr>
            <w:tcW w:w="948" w:type="dxa"/>
            <w:shd w:val="clear" w:color="auto" w:fill="auto"/>
            <w:noWrap/>
            <w:vAlign w:val="center"/>
          </w:tcPr>
          <w:p w14:paraId="1917DE2A">
            <w:pPr>
              <w:widowControl/>
              <w:jc w:val="center"/>
              <w:rPr>
                <w:rFonts w:ascii="宋体" w:hAnsi="宋体" w:cs="宋体"/>
                <w:kern w:val="0"/>
                <w:szCs w:val="21"/>
              </w:rPr>
            </w:pPr>
            <w:r>
              <w:rPr>
                <w:rFonts w:hint="eastAsia" w:ascii="宋体" w:hAnsi="宋体" w:cs="宋体"/>
                <w:kern w:val="0"/>
                <w:szCs w:val="21"/>
              </w:rPr>
              <w:t>951</w:t>
            </w:r>
          </w:p>
        </w:tc>
        <w:tc>
          <w:tcPr>
            <w:tcW w:w="1076" w:type="dxa"/>
            <w:shd w:val="clear" w:color="auto" w:fill="auto"/>
            <w:noWrap/>
            <w:vAlign w:val="center"/>
          </w:tcPr>
          <w:p w14:paraId="43B2ADE0">
            <w:pPr>
              <w:widowControl/>
              <w:jc w:val="center"/>
              <w:rPr>
                <w:rFonts w:ascii="宋体" w:hAnsi="宋体" w:cs="宋体"/>
                <w:kern w:val="0"/>
                <w:szCs w:val="21"/>
              </w:rPr>
            </w:pPr>
            <w:r>
              <w:rPr>
                <w:rFonts w:hint="eastAsia" w:ascii="宋体" w:hAnsi="宋体" w:cs="宋体"/>
                <w:kern w:val="0"/>
                <w:szCs w:val="21"/>
              </w:rPr>
              <w:t>200</w:t>
            </w:r>
          </w:p>
        </w:tc>
      </w:tr>
      <w:tr w14:paraId="3EFA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0289272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16</w:t>
            </w:r>
          </w:p>
        </w:tc>
        <w:tc>
          <w:tcPr>
            <w:tcW w:w="783" w:type="dxa"/>
            <w:vMerge w:val="continue"/>
            <w:shd w:val="clear" w:color="auto" w:fill="auto"/>
            <w:vAlign w:val="center"/>
          </w:tcPr>
          <w:p w14:paraId="62AF8C02">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039B1335">
            <w:pPr>
              <w:jc w:val="center"/>
              <w:rPr>
                <w:rFonts w:ascii="仿宋" w:hAnsi="仿宋" w:eastAsia="仿宋" w:cs="宋体"/>
                <w:color w:val="000000"/>
                <w:kern w:val="0"/>
                <w:szCs w:val="21"/>
              </w:rPr>
            </w:pPr>
          </w:p>
        </w:tc>
        <w:tc>
          <w:tcPr>
            <w:tcW w:w="892" w:type="dxa"/>
            <w:shd w:val="clear" w:color="auto" w:fill="auto"/>
            <w:vAlign w:val="center"/>
          </w:tcPr>
          <w:p w14:paraId="6F3C80A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竹围</w:t>
            </w:r>
          </w:p>
        </w:tc>
        <w:tc>
          <w:tcPr>
            <w:tcW w:w="892" w:type="dxa"/>
            <w:shd w:val="clear" w:color="auto" w:fill="auto"/>
            <w:vAlign w:val="center"/>
          </w:tcPr>
          <w:p w14:paraId="7F1FE9B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w:t>
            </w:r>
          </w:p>
        </w:tc>
        <w:tc>
          <w:tcPr>
            <w:tcW w:w="1099" w:type="dxa"/>
            <w:shd w:val="clear" w:color="auto" w:fill="auto"/>
            <w:vAlign w:val="center"/>
          </w:tcPr>
          <w:p w14:paraId="06571A0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noWrap/>
            <w:vAlign w:val="bottom"/>
          </w:tcPr>
          <w:p w14:paraId="568E700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316DD068">
            <w:pPr>
              <w:widowControl/>
              <w:jc w:val="center"/>
              <w:rPr>
                <w:rFonts w:ascii="宋体" w:hAnsi="宋体" w:cs="宋体"/>
                <w:kern w:val="0"/>
                <w:szCs w:val="21"/>
              </w:rPr>
            </w:pPr>
            <w:r>
              <w:rPr>
                <w:rFonts w:hint="eastAsia" w:ascii="宋体" w:hAnsi="宋体" w:cs="宋体"/>
                <w:kern w:val="0"/>
                <w:szCs w:val="21"/>
              </w:rPr>
              <w:t>0</w:t>
            </w:r>
          </w:p>
        </w:tc>
        <w:tc>
          <w:tcPr>
            <w:tcW w:w="1076" w:type="dxa"/>
            <w:shd w:val="clear" w:color="auto" w:fill="auto"/>
            <w:noWrap/>
            <w:vAlign w:val="center"/>
          </w:tcPr>
          <w:p w14:paraId="5CE10144">
            <w:pPr>
              <w:widowControl/>
              <w:jc w:val="center"/>
              <w:rPr>
                <w:rFonts w:ascii="宋体" w:hAnsi="宋体" w:cs="宋体"/>
                <w:kern w:val="0"/>
                <w:szCs w:val="21"/>
              </w:rPr>
            </w:pPr>
            <w:r>
              <w:rPr>
                <w:rFonts w:hint="eastAsia" w:ascii="宋体" w:hAnsi="宋体" w:cs="宋体"/>
                <w:kern w:val="0"/>
                <w:szCs w:val="21"/>
              </w:rPr>
              <w:t>　</w:t>
            </w:r>
          </w:p>
        </w:tc>
      </w:tr>
      <w:tr w14:paraId="2737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2BE3BD4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w:t>
            </w:r>
          </w:p>
        </w:tc>
        <w:tc>
          <w:tcPr>
            <w:tcW w:w="783" w:type="dxa"/>
            <w:vMerge w:val="continue"/>
            <w:shd w:val="clear" w:color="auto" w:fill="auto"/>
            <w:vAlign w:val="center"/>
          </w:tcPr>
          <w:p w14:paraId="5AE2562A">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38107AA0">
            <w:pPr>
              <w:widowControl/>
              <w:jc w:val="center"/>
              <w:rPr>
                <w:rFonts w:ascii="仿宋" w:hAnsi="仿宋" w:eastAsia="仿宋" w:cs="宋体"/>
                <w:color w:val="000000"/>
                <w:kern w:val="0"/>
                <w:szCs w:val="21"/>
              </w:rPr>
            </w:pPr>
          </w:p>
        </w:tc>
        <w:tc>
          <w:tcPr>
            <w:tcW w:w="892" w:type="dxa"/>
            <w:shd w:val="clear" w:color="auto" w:fill="auto"/>
            <w:vAlign w:val="center"/>
          </w:tcPr>
          <w:p w14:paraId="6B3D1F2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刘厝</w:t>
            </w:r>
          </w:p>
        </w:tc>
        <w:tc>
          <w:tcPr>
            <w:tcW w:w="892" w:type="dxa"/>
            <w:shd w:val="clear" w:color="auto" w:fill="auto"/>
            <w:vAlign w:val="center"/>
          </w:tcPr>
          <w:p w14:paraId="22E0B22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286</w:t>
            </w:r>
          </w:p>
        </w:tc>
        <w:tc>
          <w:tcPr>
            <w:tcW w:w="1099" w:type="dxa"/>
            <w:shd w:val="clear" w:color="auto" w:fill="auto"/>
            <w:vAlign w:val="center"/>
          </w:tcPr>
          <w:p w14:paraId="212012D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现状人工湿地</w:t>
            </w:r>
          </w:p>
        </w:tc>
        <w:tc>
          <w:tcPr>
            <w:tcW w:w="1079" w:type="dxa"/>
            <w:shd w:val="clear" w:color="auto" w:fill="auto"/>
            <w:vAlign w:val="center"/>
          </w:tcPr>
          <w:p w14:paraId="667F4ED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60</w:t>
            </w:r>
          </w:p>
        </w:tc>
        <w:tc>
          <w:tcPr>
            <w:tcW w:w="948" w:type="dxa"/>
            <w:shd w:val="clear" w:color="auto" w:fill="auto"/>
            <w:noWrap/>
            <w:vAlign w:val="center"/>
          </w:tcPr>
          <w:p w14:paraId="3D0089AA">
            <w:pPr>
              <w:widowControl/>
              <w:jc w:val="center"/>
              <w:rPr>
                <w:rFonts w:ascii="宋体" w:hAnsi="宋体" w:cs="宋体"/>
                <w:kern w:val="0"/>
                <w:szCs w:val="21"/>
              </w:rPr>
            </w:pPr>
            <w:r>
              <w:rPr>
                <w:rFonts w:hint="eastAsia" w:ascii="宋体" w:hAnsi="宋体" w:cs="宋体"/>
                <w:kern w:val="0"/>
                <w:szCs w:val="21"/>
              </w:rPr>
              <w:t>822</w:t>
            </w:r>
          </w:p>
        </w:tc>
        <w:tc>
          <w:tcPr>
            <w:tcW w:w="1076" w:type="dxa"/>
            <w:shd w:val="clear" w:color="auto" w:fill="auto"/>
            <w:noWrap/>
            <w:vAlign w:val="center"/>
          </w:tcPr>
          <w:p w14:paraId="58AE0663">
            <w:pPr>
              <w:widowControl/>
              <w:jc w:val="center"/>
              <w:rPr>
                <w:rFonts w:ascii="宋体" w:hAnsi="宋体" w:cs="宋体"/>
                <w:kern w:val="0"/>
                <w:szCs w:val="21"/>
              </w:rPr>
            </w:pPr>
            <w:r>
              <w:rPr>
                <w:rFonts w:hint="eastAsia" w:ascii="宋体" w:hAnsi="宋体" w:cs="宋体"/>
                <w:kern w:val="0"/>
                <w:szCs w:val="21"/>
              </w:rPr>
              <w:t>200</w:t>
            </w:r>
          </w:p>
        </w:tc>
      </w:tr>
      <w:tr w14:paraId="09D0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28FF4E9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783" w:type="dxa"/>
            <w:vMerge w:val="continue"/>
            <w:shd w:val="clear" w:color="auto" w:fill="auto"/>
            <w:vAlign w:val="center"/>
          </w:tcPr>
          <w:p w14:paraId="65761D50">
            <w:pPr>
              <w:widowControl/>
              <w:jc w:val="left"/>
              <w:rPr>
                <w:rFonts w:ascii="仿宋" w:hAnsi="仿宋" w:eastAsia="仿宋" w:cs="宋体"/>
                <w:color w:val="000000"/>
                <w:kern w:val="0"/>
                <w:szCs w:val="21"/>
              </w:rPr>
            </w:pPr>
          </w:p>
        </w:tc>
        <w:tc>
          <w:tcPr>
            <w:tcW w:w="1427" w:type="dxa"/>
            <w:vMerge w:val="restart"/>
            <w:shd w:val="clear" w:color="auto" w:fill="auto"/>
            <w:vAlign w:val="center"/>
          </w:tcPr>
          <w:p w14:paraId="7F4F83F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詹罗田村民委员会</w:t>
            </w:r>
          </w:p>
          <w:p w14:paraId="28859463">
            <w:pPr>
              <w:jc w:val="center"/>
              <w:rPr>
                <w:rFonts w:ascii="仿宋" w:hAnsi="仿宋" w:eastAsia="仿宋" w:cs="宋体"/>
                <w:color w:val="000000"/>
                <w:kern w:val="0"/>
                <w:szCs w:val="21"/>
              </w:rPr>
            </w:pPr>
          </w:p>
        </w:tc>
        <w:tc>
          <w:tcPr>
            <w:tcW w:w="892" w:type="dxa"/>
            <w:shd w:val="clear" w:color="auto" w:fill="auto"/>
            <w:vAlign w:val="center"/>
          </w:tcPr>
          <w:p w14:paraId="279A59B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田厝</w:t>
            </w:r>
          </w:p>
        </w:tc>
        <w:tc>
          <w:tcPr>
            <w:tcW w:w="892" w:type="dxa"/>
            <w:shd w:val="clear" w:color="auto" w:fill="auto"/>
            <w:vAlign w:val="center"/>
          </w:tcPr>
          <w:p w14:paraId="6771248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680</w:t>
            </w:r>
          </w:p>
        </w:tc>
        <w:tc>
          <w:tcPr>
            <w:tcW w:w="1099" w:type="dxa"/>
            <w:shd w:val="clear" w:color="auto" w:fill="auto"/>
            <w:vAlign w:val="center"/>
          </w:tcPr>
          <w:p w14:paraId="7A929DA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现状人工湿地</w:t>
            </w:r>
          </w:p>
        </w:tc>
        <w:tc>
          <w:tcPr>
            <w:tcW w:w="1079" w:type="dxa"/>
            <w:shd w:val="clear" w:color="auto" w:fill="auto"/>
            <w:vAlign w:val="center"/>
          </w:tcPr>
          <w:p w14:paraId="65B7680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120</w:t>
            </w:r>
          </w:p>
        </w:tc>
        <w:tc>
          <w:tcPr>
            <w:tcW w:w="948" w:type="dxa"/>
            <w:shd w:val="clear" w:color="auto" w:fill="auto"/>
            <w:noWrap/>
            <w:vAlign w:val="center"/>
          </w:tcPr>
          <w:p w14:paraId="481FF778">
            <w:pPr>
              <w:widowControl/>
              <w:jc w:val="center"/>
              <w:rPr>
                <w:rFonts w:ascii="宋体" w:hAnsi="宋体" w:cs="宋体"/>
                <w:kern w:val="0"/>
                <w:szCs w:val="21"/>
              </w:rPr>
            </w:pPr>
            <w:r>
              <w:rPr>
                <w:rFonts w:hint="eastAsia" w:ascii="宋体" w:hAnsi="宋体" w:cs="宋体"/>
                <w:kern w:val="0"/>
                <w:szCs w:val="21"/>
              </w:rPr>
              <w:t>682</w:t>
            </w:r>
          </w:p>
        </w:tc>
        <w:tc>
          <w:tcPr>
            <w:tcW w:w="1076" w:type="dxa"/>
            <w:shd w:val="clear" w:color="auto" w:fill="auto"/>
            <w:noWrap/>
            <w:vAlign w:val="center"/>
          </w:tcPr>
          <w:p w14:paraId="0D657F47">
            <w:pPr>
              <w:widowControl/>
              <w:jc w:val="center"/>
              <w:rPr>
                <w:rFonts w:ascii="宋体" w:hAnsi="宋体" w:cs="宋体"/>
                <w:kern w:val="0"/>
                <w:szCs w:val="21"/>
              </w:rPr>
            </w:pPr>
            <w:r>
              <w:rPr>
                <w:rFonts w:hint="eastAsia" w:ascii="宋体" w:hAnsi="宋体" w:cs="宋体"/>
                <w:kern w:val="0"/>
                <w:szCs w:val="21"/>
              </w:rPr>
              <w:t>200</w:t>
            </w:r>
          </w:p>
        </w:tc>
      </w:tr>
      <w:tr w14:paraId="34D5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1F092E1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19</w:t>
            </w:r>
          </w:p>
        </w:tc>
        <w:tc>
          <w:tcPr>
            <w:tcW w:w="783" w:type="dxa"/>
            <w:vMerge w:val="continue"/>
            <w:shd w:val="clear" w:color="auto" w:fill="auto"/>
            <w:vAlign w:val="center"/>
          </w:tcPr>
          <w:p w14:paraId="3E390756">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2CDB3AD2">
            <w:pPr>
              <w:jc w:val="center"/>
              <w:rPr>
                <w:rFonts w:ascii="仿宋" w:hAnsi="仿宋" w:eastAsia="仿宋" w:cs="宋体"/>
                <w:color w:val="000000"/>
                <w:kern w:val="0"/>
                <w:szCs w:val="21"/>
              </w:rPr>
            </w:pPr>
          </w:p>
        </w:tc>
        <w:tc>
          <w:tcPr>
            <w:tcW w:w="892" w:type="dxa"/>
            <w:shd w:val="clear" w:color="auto" w:fill="auto"/>
            <w:vAlign w:val="center"/>
          </w:tcPr>
          <w:p w14:paraId="716C563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罗厝寨</w:t>
            </w:r>
          </w:p>
        </w:tc>
        <w:tc>
          <w:tcPr>
            <w:tcW w:w="892" w:type="dxa"/>
            <w:shd w:val="clear" w:color="auto" w:fill="auto"/>
            <w:vAlign w:val="center"/>
          </w:tcPr>
          <w:p w14:paraId="64336FB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55</w:t>
            </w:r>
          </w:p>
        </w:tc>
        <w:tc>
          <w:tcPr>
            <w:tcW w:w="1099" w:type="dxa"/>
            <w:shd w:val="clear" w:color="auto" w:fill="auto"/>
            <w:vAlign w:val="center"/>
          </w:tcPr>
          <w:p w14:paraId="2451981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noWrap/>
            <w:vAlign w:val="bottom"/>
          </w:tcPr>
          <w:p w14:paraId="6945B28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31DEDA02">
            <w:pPr>
              <w:widowControl/>
              <w:jc w:val="center"/>
              <w:rPr>
                <w:rFonts w:ascii="宋体" w:hAnsi="宋体" w:cs="宋体"/>
                <w:kern w:val="0"/>
                <w:szCs w:val="21"/>
              </w:rPr>
            </w:pPr>
            <w:r>
              <w:rPr>
                <w:rFonts w:hint="eastAsia" w:ascii="宋体" w:hAnsi="宋体" w:cs="宋体"/>
                <w:kern w:val="0"/>
                <w:szCs w:val="21"/>
              </w:rPr>
              <w:t>428</w:t>
            </w:r>
          </w:p>
        </w:tc>
        <w:tc>
          <w:tcPr>
            <w:tcW w:w="1076" w:type="dxa"/>
            <w:shd w:val="clear" w:color="auto" w:fill="auto"/>
            <w:noWrap/>
            <w:vAlign w:val="center"/>
          </w:tcPr>
          <w:p w14:paraId="4D5E46F5">
            <w:pPr>
              <w:widowControl/>
              <w:jc w:val="center"/>
              <w:rPr>
                <w:rFonts w:ascii="宋体" w:hAnsi="宋体" w:cs="宋体"/>
                <w:kern w:val="0"/>
                <w:szCs w:val="21"/>
              </w:rPr>
            </w:pPr>
            <w:r>
              <w:rPr>
                <w:rFonts w:hint="eastAsia" w:ascii="宋体" w:hAnsi="宋体" w:cs="宋体"/>
                <w:kern w:val="0"/>
                <w:szCs w:val="21"/>
              </w:rPr>
              <w:t>50</w:t>
            </w:r>
          </w:p>
        </w:tc>
      </w:tr>
      <w:tr w14:paraId="1DEB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7" w:type="dxa"/>
            <w:shd w:val="clear" w:color="auto" w:fill="auto"/>
            <w:noWrap/>
            <w:vAlign w:val="bottom"/>
          </w:tcPr>
          <w:p w14:paraId="6AD6EF6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783" w:type="dxa"/>
            <w:vMerge w:val="continue"/>
            <w:shd w:val="clear" w:color="auto" w:fill="auto"/>
            <w:vAlign w:val="center"/>
          </w:tcPr>
          <w:p w14:paraId="52AB9EC8">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1CF74071">
            <w:pPr>
              <w:widowControl/>
              <w:jc w:val="center"/>
              <w:rPr>
                <w:rFonts w:ascii="仿宋" w:hAnsi="仿宋" w:eastAsia="仿宋" w:cs="宋体"/>
                <w:color w:val="000000"/>
                <w:kern w:val="0"/>
                <w:szCs w:val="21"/>
              </w:rPr>
            </w:pPr>
          </w:p>
        </w:tc>
        <w:tc>
          <w:tcPr>
            <w:tcW w:w="892" w:type="dxa"/>
            <w:shd w:val="clear" w:color="auto" w:fill="auto"/>
            <w:vAlign w:val="center"/>
          </w:tcPr>
          <w:p w14:paraId="546FE41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詹厝寨</w:t>
            </w:r>
          </w:p>
        </w:tc>
        <w:tc>
          <w:tcPr>
            <w:tcW w:w="892" w:type="dxa"/>
            <w:shd w:val="clear" w:color="auto" w:fill="auto"/>
            <w:vAlign w:val="center"/>
          </w:tcPr>
          <w:p w14:paraId="638E83F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200</w:t>
            </w:r>
          </w:p>
        </w:tc>
        <w:tc>
          <w:tcPr>
            <w:tcW w:w="1099" w:type="dxa"/>
            <w:shd w:val="clear" w:color="auto" w:fill="auto"/>
            <w:vAlign w:val="center"/>
          </w:tcPr>
          <w:p w14:paraId="6D6AC39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资源化利用</w:t>
            </w:r>
          </w:p>
        </w:tc>
        <w:tc>
          <w:tcPr>
            <w:tcW w:w="1079" w:type="dxa"/>
            <w:shd w:val="clear" w:color="auto" w:fill="auto"/>
            <w:noWrap/>
            <w:vAlign w:val="bottom"/>
          </w:tcPr>
          <w:p w14:paraId="33DDB47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shd w:val="clear" w:color="auto" w:fill="auto"/>
            <w:noWrap/>
            <w:vAlign w:val="center"/>
          </w:tcPr>
          <w:p w14:paraId="5B623ABC">
            <w:pPr>
              <w:widowControl/>
              <w:jc w:val="center"/>
              <w:rPr>
                <w:rFonts w:ascii="宋体" w:hAnsi="宋体" w:cs="宋体"/>
                <w:kern w:val="0"/>
                <w:szCs w:val="21"/>
              </w:rPr>
            </w:pPr>
            <w:r>
              <w:rPr>
                <w:rFonts w:hint="eastAsia" w:ascii="宋体" w:hAnsi="宋体" w:cs="宋体"/>
                <w:kern w:val="0"/>
                <w:szCs w:val="21"/>
              </w:rPr>
              <w:t>218</w:t>
            </w:r>
          </w:p>
        </w:tc>
        <w:tc>
          <w:tcPr>
            <w:tcW w:w="1076" w:type="dxa"/>
            <w:shd w:val="clear" w:color="auto" w:fill="auto"/>
            <w:noWrap/>
            <w:vAlign w:val="center"/>
          </w:tcPr>
          <w:p w14:paraId="62742CE4">
            <w:pPr>
              <w:widowControl/>
              <w:jc w:val="center"/>
              <w:rPr>
                <w:rFonts w:ascii="宋体" w:hAnsi="宋体" w:cs="宋体"/>
                <w:kern w:val="0"/>
                <w:szCs w:val="21"/>
              </w:rPr>
            </w:pPr>
            <w:r>
              <w:rPr>
                <w:rFonts w:hint="eastAsia" w:ascii="宋体" w:hAnsi="宋体" w:cs="宋体"/>
                <w:kern w:val="0"/>
                <w:szCs w:val="21"/>
              </w:rPr>
              <w:t>50</w:t>
            </w:r>
          </w:p>
        </w:tc>
      </w:tr>
      <w:tr w14:paraId="4C9E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97" w:type="dxa"/>
            <w:shd w:val="clear" w:color="auto" w:fill="auto"/>
            <w:noWrap/>
            <w:vAlign w:val="bottom"/>
          </w:tcPr>
          <w:p w14:paraId="5C1AEB1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3" w:type="dxa"/>
            <w:vMerge w:val="restart"/>
            <w:shd w:val="clear" w:color="auto" w:fill="auto"/>
            <w:vAlign w:val="center"/>
          </w:tcPr>
          <w:p w14:paraId="0FB8D47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桥东街道</w:t>
            </w:r>
          </w:p>
        </w:tc>
        <w:tc>
          <w:tcPr>
            <w:tcW w:w="1427" w:type="dxa"/>
            <w:vMerge w:val="restart"/>
            <w:shd w:val="clear" w:color="auto" w:fill="auto"/>
            <w:vAlign w:val="center"/>
          </w:tcPr>
          <w:p w14:paraId="40BB217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六亩村民居委会</w:t>
            </w:r>
          </w:p>
        </w:tc>
        <w:tc>
          <w:tcPr>
            <w:tcW w:w="892" w:type="dxa"/>
            <w:shd w:val="clear" w:color="auto" w:fill="auto"/>
            <w:vAlign w:val="center"/>
          </w:tcPr>
          <w:p w14:paraId="6600667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赖厝</w:t>
            </w:r>
          </w:p>
        </w:tc>
        <w:tc>
          <w:tcPr>
            <w:tcW w:w="892" w:type="dxa"/>
            <w:shd w:val="clear" w:color="auto" w:fill="auto"/>
            <w:vAlign w:val="center"/>
          </w:tcPr>
          <w:p w14:paraId="3868BE7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423</w:t>
            </w:r>
          </w:p>
        </w:tc>
        <w:tc>
          <w:tcPr>
            <w:tcW w:w="1099" w:type="dxa"/>
            <w:vMerge w:val="restart"/>
            <w:shd w:val="clear" w:color="auto" w:fill="auto"/>
            <w:noWrap/>
            <w:vAlign w:val="bottom"/>
          </w:tcPr>
          <w:p w14:paraId="255F10F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纳厂</w:t>
            </w:r>
          </w:p>
        </w:tc>
        <w:tc>
          <w:tcPr>
            <w:tcW w:w="1079" w:type="dxa"/>
            <w:shd w:val="clear" w:color="auto" w:fill="auto"/>
            <w:noWrap/>
            <w:vAlign w:val="bottom"/>
          </w:tcPr>
          <w:p w14:paraId="4B1B206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restart"/>
            <w:shd w:val="clear" w:color="auto" w:fill="auto"/>
            <w:noWrap/>
            <w:vAlign w:val="center"/>
          </w:tcPr>
          <w:p w14:paraId="6AB82574">
            <w:pPr>
              <w:widowControl/>
              <w:jc w:val="center"/>
              <w:rPr>
                <w:rFonts w:ascii="宋体" w:hAnsi="宋体" w:cs="宋体"/>
                <w:kern w:val="0"/>
                <w:szCs w:val="21"/>
              </w:rPr>
            </w:pPr>
            <w:r>
              <w:rPr>
                <w:rFonts w:hint="eastAsia" w:ascii="宋体" w:hAnsi="宋体" w:cs="宋体"/>
                <w:kern w:val="0"/>
                <w:szCs w:val="21"/>
              </w:rPr>
              <w:t>2835</w:t>
            </w:r>
          </w:p>
        </w:tc>
        <w:tc>
          <w:tcPr>
            <w:tcW w:w="1076" w:type="dxa"/>
            <w:shd w:val="clear" w:color="auto" w:fill="auto"/>
            <w:noWrap/>
            <w:vAlign w:val="center"/>
          </w:tcPr>
          <w:p w14:paraId="3581B8E5">
            <w:pPr>
              <w:widowControl/>
              <w:jc w:val="center"/>
              <w:rPr>
                <w:rFonts w:ascii="宋体" w:hAnsi="宋体" w:cs="宋体"/>
                <w:kern w:val="0"/>
                <w:szCs w:val="21"/>
              </w:rPr>
            </w:pPr>
            <w:r>
              <w:rPr>
                <w:rFonts w:hint="eastAsia" w:ascii="宋体" w:hAnsi="宋体" w:cs="宋体"/>
                <w:kern w:val="0"/>
                <w:szCs w:val="21"/>
              </w:rPr>
              <w:t>200</w:t>
            </w:r>
          </w:p>
        </w:tc>
      </w:tr>
      <w:tr w14:paraId="3663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97" w:type="dxa"/>
            <w:shd w:val="clear" w:color="auto" w:fill="auto"/>
            <w:noWrap/>
            <w:vAlign w:val="bottom"/>
          </w:tcPr>
          <w:p w14:paraId="095B719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783" w:type="dxa"/>
            <w:vMerge w:val="continue"/>
            <w:shd w:val="clear" w:color="auto" w:fill="auto"/>
            <w:vAlign w:val="center"/>
          </w:tcPr>
          <w:p w14:paraId="142084BF">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3E914849">
            <w:pPr>
              <w:widowControl/>
              <w:jc w:val="left"/>
              <w:rPr>
                <w:rFonts w:ascii="仿宋" w:hAnsi="仿宋" w:eastAsia="仿宋" w:cs="宋体"/>
                <w:color w:val="000000"/>
                <w:kern w:val="0"/>
                <w:szCs w:val="21"/>
              </w:rPr>
            </w:pPr>
          </w:p>
        </w:tc>
        <w:tc>
          <w:tcPr>
            <w:tcW w:w="892" w:type="dxa"/>
            <w:shd w:val="clear" w:color="auto" w:fill="auto"/>
            <w:vAlign w:val="center"/>
          </w:tcPr>
          <w:p w14:paraId="668EFB7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六亩</w:t>
            </w:r>
          </w:p>
        </w:tc>
        <w:tc>
          <w:tcPr>
            <w:tcW w:w="892" w:type="dxa"/>
            <w:shd w:val="clear" w:color="auto" w:fill="auto"/>
            <w:vAlign w:val="center"/>
          </w:tcPr>
          <w:p w14:paraId="1653355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1481</w:t>
            </w:r>
          </w:p>
        </w:tc>
        <w:tc>
          <w:tcPr>
            <w:tcW w:w="1099" w:type="dxa"/>
            <w:vMerge w:val="continue"/>
            <w:shd w:val="clear" w:color="auto" w:fill="auto"/>
            <w:vAlign w:val="center"/>
          </w:tcPr>
          <w:p w14:paraId="113139C6">
            <w:pPr>
              <w:widowControl/>
              <w:jc w:val="left"/>
              <w:rPr>
                <w:rFonts w:ascii="仿宋" w:hAnsi="仿宋" w:eastAsia="仿宋" w:cs="宋体"/>
                <w:color w:val="000000"/>
                <w:kern w:val="0"/>
                <w:szCs w:val="21"/>
              </w:rPr>
            </w:pPr>
          </w:p>
        </w:tc>
        <w:tc>
          <w:tcPr>
            <w:tcW w:w="1079" w:type="dxa"/>
            <w:shd w:val="clear" w:color="auto" w:fill="auto"/>
            <w:noWrap/>
            <w:vAlign w:val="bottom"/>
          </w:tcPr>
          <w:p w14:paraId="2882102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20B1D2D4">
            <w:pPr>
              <w:widowControl/>
              <w:jc w:val="left"/>
              <w:rPr>
                <w:rFonts w:ascii="宋体" w:hAnsi="宋体" w:cs="宋体"/>
                <w:kern w:val="0"/>
                <w:szCs w:val="21"/>
              </w:rPr>
            </w:pPr>
          </w:p>
        </w:tc>
        <w:tc>
          <w:tcPr>
            <w:tcW w:w="1076" w:type="dxa"/>
            <w:shd w:val="clear" w:color="auto" w:fill="auto"/>
            <w:noWrap/>
            <w:vAlign w:val="center"/>
          </w:tcPr>
          <w:p w14:paraId="60F1C6C3">
            <w:pPr>
              <w:widowControl/>
              <w:jc w:val="center"/>
              <w:rPr>
                <w:rFonts w:ascii="宋体" w:hAnsi="宋体" w:cs="宋体"/>
                <w:kern w:val="0"/>
                <w:szCs w:val="21"/>
              </w:rPr>
            </w:pPr>
            <w:r>
              <w:rPr>
                <w:rFonts w:hint="eastAsia" w:ascii="宋体" w:hAnsi="宋体" w:cs="宋体"/>
                <w:kern w:val="0"/>
                <w:szCs w:val="21"/>
              </w:rPr>
              <w:t>　</w:t>
            </w:r>
          </w:p>
        </w:tc>
      </w:tr>
      <w:tr w14:paraId="0532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97" w:type="dxa"/>
            <w:shd w:val="clear" w:color="auto" w:fill="auto"/>
            <w:noWrap/>
            <w:vAlign w:val="bottom"/>
          </w:tcPr>
          <w:p w14:paraId="0FECDB9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3" w:type="dxa"/>
            <w:vMerge w:val="continue"/>
            <w:shd w:val="clear" w:color="auto" w:fill="auto"/>
            <w:vAlign w:val="center"/>
          </w:tcPr>
          <w:p w14:paraId="0CB0539F">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6384BD99">
            <w:pPr>
              <w:widowControl/>
              <w:jc w:val="left"/>
              <w:rPr>
                <w:rFonts w:ascii="仿宋" w:hAnsi="仿宋" w:eastAsia="仿宋" w:cs="宋体"/>
                <w:color w:val="000000"/>
                <w:kern w:val="0"/>
                <w:szCs w:val="21"/>
              </w:rPr>
            </w:pPr>
          </w:p>
        </w:tc>
        <w:tc>
          <w:tcPr>
            <w:tcW w:w="892" w:type="dxa"/>
            <w:shd w:val="clear" w:color="auto" w:fill="auto"/>
            <w:vAlign w:val="center"/>
          </w:tcPr>
          <w:p w14:paraId="766A715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岗山</w:t>
            </w:r>
          </w:p>
        </w:tc>
        <w:tc>
          <w:tcPr>
            <w:tcW w:w="892" w:type="dxa"/>
            <w:shd w:val="clear" w:color="auto" w:fill="auto"/>
            <w:vAlign w:val="center"/>
          </w:tcPr>
          <w:p w14:paraId="6C8A2F5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194</w:t>
            </w:r>
          </w:p>
        </w:tc>
        <w:tc>
          <w:tcPr>
            <w:tcW w:w="1099" w:type="dxa"/>
            <w:vMerge w:val="continue"/>
            <w:shd w:val="clear" w:color="auto" w:fill="auto"/>
            <w:vAlign w:val="center"/>
          </w:tcPr>
          <w:p w14:paraId="0C478483">
            <w:pPr>
              <w:widowControl/>
              <w:jc w:val="left"/>
              <w:rPr>
                <w:rFonts w:ascii="仿宋" w:hAnsi="仿宋" w:eastAsia="仿宋" w:cs="宋体"/>
                <w:color w:val="000000"/>
                <w:kern w:val="0"/>
                <w:szCs w:val="21"/>
              </w:rPr>
            </w:pPr>
          </w:p>
        </w:tc>
        <w:tc>
          <w:tcPr>
            <w:tcW w:w="1079" w:type="dxa"/>
            <w:shd w:val="clear" w:color="auto" w:fill="auto"/>
            <w:noWrap/>
            <w:vAlign w:val="bottom"/>
          </w:tcPr>
          <w:p w14:paraId="2EB34FF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300F56F3">
            <w:pPr>
              <w:widowControl/>
              <w:jc w:val="left"/>
              <w:rPr>
                <w:rFonts w:ascii="宋体" w:hAnsi="宋体" w:cs="宋体"/>
                <w:kern w:val="0"/>
                <w:szCs w:val="21"/>
              </w:rPr>
            </w:pPr>
          </w:p>
        </w:tc>
        <w:tc>
          <w:tcPr>
            <w:tcW w:w="1076" w:type="dxa"/>
            <w:shd w:val="clear" w:color="auto" w:fill="auto"/>
            <w:noWrap/>
            <w:vAlign w:val="center"/>
          </w:tcPr>
          <w:p w14:paraId="57878629">
            <w:pPr>
              <w:widowControl/>
              <w:jc w:val="center"/>
              <w:rPr>
                <w:rFonts w:ascii="宋体" w:hAnsi="宋体" w:cs="宋体"/>
                <w:kern w:val="0"/>
                <w:szCs w:val="21"/>
              </w:rPr>
            </w:pPr>
            <w:r>
              <w:rPr>
                <w:rFonts w:hint="eastAsia" w:ascii="宋体" w:hAnsi="宋体" w:cs="宋体"/>
                <w:kern w:val="0"/>
                <w:szCs w:val="21"/>
              </w:rPr>
              <w:t>　</w:t>
            </w:r>
          </w:p>
        </w:tc>
      </w:tr>
      <w:tr w14:paraId="402F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97" w:type="dxa"/>
            <w:shd w:val="clear" w:color="auto" w:fill="auto"/>
            <w:noWrap/>
            <w:vAlign w:val="bottom"/>
          </w:tcPr>
          <w:p w14:paraId="0786328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3" w:type="dxa"/>
            <w:vMerge w:val="continue"/>
            <w:shd w:val="clear" w:color="auto" w:fill="auto"/>
            <w:vAlign w:val="center"/>
          </w:tcPr>
          <w:p w14:paraId="424D2123">
            <w:pPr>
              <w:widowControl/>
              <w:jc w:val="left"/>
              <w:rPr>
                <w:rFonts w:ascii="仿宋" w:hAnsi="仿宋" w:eastAsia="仿宋" w:cs="宋体"/>
                <w:color w:val="000000"/>
                <w:kern w:val="0"/>
                <w:szCs w:val="21"/>
              </w:rPr>
            </w:pPr>
          </w:p>
        </w:tc>
        <w:tc>
          <w:tcPr>
            <w:tcW w:w="1427" w:type="dxa"/>
            <w:vMerge w:val="continue"/>
            <w:shd w:val="clear" w:color="auto" w:fill="auto"/>
            <w:vAlign w:val="center"/>
          </w:tcPr>
          <w:p w14:paraId="23FD091E">
            <w:pPr>
              <w:widowControl/>
              <w:jc w:val="left"/>
              <w:rPr>
                <w:rFonts w:ascii="仿宋" w:hAnsi="仿宋" w:eastAsia="仿宋" w:cs="宋体"/>
                <w:color w:val="000000"/>
                <w:kern w:val="0"/>
                <w:szCs w:val="21"/>
              </w:rPr>
            </w:pPr>
          </w:p>
        </w:tc>
        <w:tc>
          <w:tcPr>
            <w:tcW w:w="892" w:type="dxa"/>
            <w:shd w:val="clear" w:color="auto" w:fill="auto"/>
            <w:vAlign w:val="center"/>
          </w:tcPr>
          <w:p w14:paraId="3D538FB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乌石园</w:t>
            </w:r>
          </w:p>
        </w:tc>
        <w:tc>
          <w:tcPr>
            <w:tcW w:w="892" w:type="dxa"/>
            <w:shd w:val="clear" w:color="auto" w:fill="auto"/>
            <w:vAlign w:val="center"/>
          </w:tcPr>
          <w:p w14:paraId="49BDA58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49</w:t>
            </w:r>
          </w:p>
        </w:tc>
        <w:tc>
          <w:tcPr>
            <w:tcW w:w="1099" w:type="dxa"/>
            <w:vMerge w:val="continue"/>
            <w:shd w:val="clear" w:color="auto" w:fill="auto"/>
            <w:vAlign w:val="center"/>
          </w:tcPr>
          <w:p w14:paraId="0B8395B8">
            <w:pPr>
              <w:widowControl/>
              <w:jc w:val="left"/>
              <w:rPr>
                <w:rFonts w:ascii="仿宋" w:hAnsi="仿宋" w:eastAsia="仿宋" w:cs="宋体"/>
                <w:color w:val="000000"/>
                <w:kern w:val="0"/>
                <w:szCs w:val="21"/>
              </w:rPr>
            </w:pPr>
          </w:p>
        </w:tc>
        <w:tc>
          <w:tcPr>
            <w:tcW w:w="1079" w:type="dxa"/>
            <w:shd w:val="clear" w:color="auto" w:fill="auto"/>
            <w:noWrap/>
            <w:vAlign w:val="bottom"/>
          </w:tcPr>
          <w:p w14:paraId="5213626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48" w:type="dxa"/>
            <w:vMerge w:val="continue"/>
            <w:shd w:val="clear" w:color="auto" w:fill="auto"/>
            <w:vAlign w:val="center"/>
          </w:tcPr>
          <w:p w14:paraId="4CB1CEFF">
            <w:pPr>
              <w:widowControl/>
              <w:jc w:val="left"/>
              <w:rPr>
                <w:rFonts w:ascii="宋体" w:hAnsi="宋体" w:cs="宋体"/>
                <w:kern w:val="0"/>
                <w:szCs w:val="21"/>
              </w:rPr>
            </w:pPr>
          </w:p>
        </w:tc>
        <w:tc>
          <w:tcPr>
            <w:tcW w:w="1076" w:type="dxa"/>
            <w:shd w:val="clear" w:color="auto" w:fill="auto"/>
            <w:noWrap/>
            <w:vAlign w:val="center"/>
          </w:tcPr>
          <w:p w14:paraId="5C5EE979">
            <w:pPr>
              <w:widowControl/>
              <w:jc w:val="center"/>
              <w:rPr>
                <w:rFonts w:ascii="宋体" w:hAnsi="宋体" w:cs="宋体"/>
                <w:kern w:val="0"/>
                <w:szCs w:val="21"/>
              </w:rPr>
            </w:pPr>
            <w:r>
              <w:rPr>
                <w:rFonts w:hint="eastAsia" w:ascii="宋体" w:hAnsi="宋体" w:cs="宋体"/>
                <w:kern w:val="0"/>
                <w:szCs w:val="21"/>
              </w:rPr>
              <w:t>　</w:t>
            </w:r>
          </w:p>
        </w:tc>
      </w:tr>
      <w:tr w14:paraId="53B9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97" w:type="dxa"/>
            <w:shd w:val="clear" w:color="auto" w:fill="auto"/>
            <w:noWrap/>
            <w:vAlign w:val="center"/>
          </w:tcPr>
          <w:p w14:paraId="7E862049">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52</w:t>
            </w:r>
          </w:p>
        </w:tc>
        <w:tc>
          <w:tcPr>
            <w:tcW w:w="783" w:type="dxa"/>
            <w:shd w:val="clear" w:color="auto" w:fill="auto"/>
            <w:noWrap/>
            <w:vAlign w:val="bottom"/>
          </w:tcPr>
          <w:p w14:paraId="7A919417">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合计</w:t>
            </w:r>
          </w:p>
        </w:tc>
        <w:tc>
          <w:tcPr>
            <w:tcW w:w="1427" w:type="dxa"/>
            <w:shd w:val="clear" w:color="auto" w:fill="auto"/>
            <w:noWrap/>
            <w:vAlign w:val="bottom"/>
          </w:tcPr>
          <w:p w14:paraId="3DEB350F">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892" w:type="dxa"/>
            <w:shd w:val="clear" w:color="auto" w:fill="auto"/>
            <w:noWrap/>
            <w:vAlign w:val="bottom"/>
          </w:tcPr>
          <w:p w14:paraId="035F6049">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892" w:type="dxa"/>
            <w:shd w:val="clear" w:color="auto" w:fill="auto"/>
            <w:noWrap/>
            <w:vAlign w:val="bottom"/>
          </w:tcPr>
          <w:p w14:paraId="7CFD9035">
            <w:pPr>
              <w:widowControl/>
              <w:jc w:val="center"/>
              <w:rPr>
                <w:rFonts w:ascii="等线" w:hAnsi="等线" w:eastAsia="等线"/>
                <w:b/>
                <w:bCs/>
                <w:color w:val="000000"/>
                <w:kern w:val="0"/>
                <w:sz w:val="22"/>
              </w:rPr>
            </w:pPr>
            <w:r>
              <w:rPr>
                <w:rFonts w:hint="eastAsia" w:ascii="仿宋_GB2312" w:hAnsi="等线" w:eastAsia="仿宋_GB2312" w:cs="宋体"/>
                <w:b/>
                <w:bCs/>
                <w:color w:val="000000"/>
                <w:kern w:val="0"/>
                <w:szCs w:val="21"/>
              </w:rPr>
              <w:t>44983 　</w:t>
            </w:r>
          </w:p>
        </w:tc>
        <w:tc>
          <w:tcPr>
            <w:tcW w:w="1099" w:type="dxa"/>
            <w:shd w:val="clear" w:color="auto" w:fill="auto"/>
            <w:noWrap/>
            <w:vAlign w:val="bottom"/>
          </w:tcPr>
          <w:p w14:paraId="26922A3B">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1079" w:type="dxa"/>
            <w:shd w:val="clear" w:color="auto" w:fill="auto"/>
            <w:noWrap/>
            <w:vAlign w:val="bottom"/>
          </w:tcPr>
          <w:p w14:paraId="506ADF57">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xml:space="preserve">630.00 </w:t>
            </w:r>
          </w:p>
        </w:tc>
        <w:tc>
          <w:tcPr>
            <w:tcW w:w="948" w:type="dxa"/>
            <w:shd w:val="clear" w:color="auto" w:fill="auto"/>
            <w:noWrap/>
            <w:vAlign w:val="bottom"/>
          </w:tcPr>
          <w:p w14:paraId="2F06F881">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37402</w:t>
            </w:r>
          </w:p>
        </w:tc>
        <w:tc>
          <w:tcPr>
            <w:tcW w:w="1076" w:type="dxa"/>
            <w:shd w:val="clear" w:color="auto" w:fill="auto"/>
            <w:noWrap/>
            <w:vAlign w:val="bottom"/>
          </w:tcPr>
          <w:p w14:paraId="397835EB">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8050</w:t>
            </w:r>
          </w:p>
        </w:tc>
      </w:tr>
    </w:tbl>
    <w:p w14:paraId="6573DE62">
      <w:pPr>
        <w:pStyle w:val="17"/>
        <w:widowControl/>
        <w:shd w:val="clear" w:color="auto" w:fill="FFFFFF"/>
        <w:spacing w:beforeAutospacing="0" w:afterAutospacing="0"/>
        <w:ind w:firstLine="562" w:firstLineChars="200"/>
        <w:jc w:val="center"/>
        <w:rPr>
          <w:rFonts w:ascii="仿宋" w:hAnsi="仿宋" w:eastAsia="仿宋" w:cs="仿宋"/>
          <w:b/>
          <w:bCs/>
          <w:color w:val="000000" w:themeColor="text1"/>
          <w:sz w:val="28"/>
          <w:szCs w:val="28"/>
          <w14:textFill>
            <w14:solidFill>
              <w14:schemeClr w14:val="tx1"/>
            </w14:solidFill>
          </w14:textFill>
        </w:rPr>
      </w:pPr>
    </w:p>
    <w:p w14:paraId="06EA690E">
      <w:pPr>
        <w:pStyle w:val="5"/>
      </w:pPr>
      <w:r>
        <w:rPr>
          <w:rFonts w:hint="eastAsia"/>
        </w:rPr>
        <w:t>5</w:t>
      </w:r>
      <w:r>
        <w:t>、存量职工情况</w:t>
      </w:r>
    </w:p>
    <w:p w14:paraId="69CCE4F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9" w:name="_Toc28387"/>
      <w:bookmarkStart w:id="20" w:name="_Toc23346"/>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本项目范围内，人工湿地处理设施9座，由村委或施工单位暂时管理，其余设施均为2</w:t>
      </w:r>
      <w:r>
        <w:rPr>
          <w:rFonts w:ascii="Times New Roman Regular" w:hAnsi="Times New Roman Regular" w:eastAsia="仿宋_GB2312" w:cs="Times New Roman Regular"/>
          <w:color w:val="000000" w:themeColor="text1"/>
          <w:sz w:val="28"/>
          <w:szCs w:val="28"/>
          <w14:textFill>
            <w14:solidFill>
              <w14:schemeClr w14:val="tx1"/>
            </w14:solidFill>
          </w14:textFill>
        </w:rPr>
        <w:t>024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年新建完工。因此，本项目不存在需要接管的存量职工。</w:t>
      </w:r>
    </w:p>
    <w:p w14:paraId="747908B5">
      <w:pPr>
        <w:pStyle w:val="5"/>
      </w:pPr>
      <w:r>
        <w:rPr>
          <w:rFonts w:hint="eastAsia"/>
        </w:rPr>
        <w:t>6</w:t>
      </w:r>
      <w:r>
        <w:t>、存量资产情况</w:t>
      </w:r>
      <w:bookmarkEnd w:id="19"/>
      <w:bookmarkEnd w:id="20"/>
    </w:p>
    <w:p w14:paraId="6250094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本项目存量资产包括</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上述</w:t>
      </w:r>
      <w:r>
        <w:rPr>
          <w:rFonts w:ascii="Times New Roman Regular" w:hAnsi="Times New Roman Regular" w:eastAsia="仿宋_GB2312" w:cs="Times New Roman Regular"/>
          <w:color w:val="000000" w:themeColor="text1"/>
          <w:sz w:val="28"/>
          <w:szCs w:val="28"/>
          <w14:textFill>
            <w14:solidFill>
              <w14:schemeClr w14:val="tx1"/>
            </w14:solidFill>
          </w14:textFill>
        </w:rPr>
        <w:t>52</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个农村污水治理设施及配套管网，原建设投资合计约1</w:t>
      </w:r>
      <w:r>
        <w:rPr>
          <w:rFonts w:ascii="Times New Roman Regular" w:hAnsi="Times New Roman Regular" w:eastAsia="仿宋_GB2312" w:cs="Times New Roman Regular"/>
          <w:color w:val="000000" w:themeColor="text1"/>
          <w:sz w:val="28"/>
          <w:szCs w:val="28"/>
          <w14:textFill>
            <w14:solidFill>
              <w14:schemeClr w14:val="tx1"/>
            </w14:solidFill>
          </w14:textFill>
        </w:rPr>
        <w:t>.26</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亿元，根据第三方评估机构评估结果，本项目3</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年特许经营权价值为</w:t>
      </w:r>
      <w:r>
        <w:rPr>
          <w:rFonts w:ascii="Times New Roman Regular" w:hAnsi="Times New Roman Regular" w:eastAsia="仿宋_GB2312" w:cs="Times New Roman Regular"/>
          <w:color w:val="000000" w:themeColor="text1"/>
          <w:sz w:val="28"/>
          <w:szCs w:val="28"/>
          <w14:textFill>
            <w14:solidFill>
              <w14:schemeClr w14:val="tx1"/>
            </w14:solidFill>
          </w14:textFill>
        </w:rPr>
        <w:t>11000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w:t>
      </w:r>
    </w:p>
    <w:p w14:paraId="3381D16D">
      <w:pPr>
        <w:pStyle w:val="4"/>
      </w:pPr>
      <w:bookmarkStart w:id="21" w:name="_Toc9670"/>
      <w:bookmarkStart w:id="22" w:name="_Toc23645"/>
      <w:bookmarkStart w:id="23" w:name="_Toc188530544"/>
      <w:bookmarkStart w:id="24" w:name="_Toc1489"/>
      <w:r>
        <w:t>（二）项目实施机构</w:t>
      </w:r>
      <w:bookmarkEnd w:id="21"/>
      <w:bookmarkEnd w:id="22"/>
      <w:bookmarkEnd w:id="23"/>
      <w:bookmarkEnd w:id="24"/>
    </w:p>
    <w:p w14:paraId="7C87D8E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本项目由</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潮州市湘桥区人民政府</w:t>
      </w:r>
      <w:r>
        <w:rPr>
          <w:rFonts w:ascii="Times New Roman Regular" w:hAnsi="Times New Roman Regular" w:eastAsia="仿宋_GB2312" w:cs="Times New Roman Regular"/>
          <w:color w:val="000000" w:themeColor="text1"/>
          <w:sz w:val="28"/>
          <w:szCs w:val="28"/>
          <w14:textFill>
            <w14:solidFill>
              <w14:schemeClr w14:val="tx1"/>
            </w14:solidFill>
          </w14:textFill>
        </w:rPr>
        <w:t>授权</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潮州市湘桥区农业农村局（以下简称“区农业农村局”）</w:t>
      </w:r>
      <w:r>
        <w:rPr>
          <w:rFonts w:ascii="Times New Roman Regular" w:hAnsi="Times New Roman Regular" w:eastAsia="仿宋_GB2312" w:cs="Times New Roman Regular"/>
          <w:color w:val="000000" w:themeColor="text1"/>
          <w:sz w:val="28"/>
          <w:szCs w:val="28"/>
          <w14:textFill>
            <w14:solidFill>
              <w14:schemeClr w14:val="tx1"/>
            </w14:solidFill>
          </w14:textFill>
        </w:rPr>
        <w:t>作为项目的实施机构。在项目决策阶段，主要负责完成前期审批文件、进行特许经营可行性论证、编制特许经营实施方案等工作；在项目采购阶段，负责按照合法采购程序选择特许经营合作方，与特许经营合作方签订《特许经营协议》等法律文件；在项目执行阶段，负责项目运营阶段的监管和考核工作；在项目移交阶段，负责项目移交相关事宜。</w:t>
      </w:r>
    </w:p>
    <w:p w14:paraId="2B3BBC1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1A45649B">
      <w:pPr>
        <w:pStyle w:val="4"/>
      </w:pPr>
      <w:bookmarkStart w:id="25" w:name="_Toc26163"/>
      <w:bookmarkStart w:id="26" w:name="_Toc188530545"/>
      <w:bookmarkStart w:id="27" w:name="_Toc12038"/>
      <w:bookmarkStart w:id="28" w:name="_Toc20653"/>
      <w:r>
        <w:t>（三）特许经营主要内容</w:t>
      </w:r>
      <w:bookmarkEnd w:id="25"/>
      <w:bookmarkEnd w:id="26"/>
      <w:bookmarkEnd w:id="27"/>
      <w:bookmarkEnd w:id="28"/>
    </w:p>
    <w:p w14:paraId="7331430E">
      <w:pPr>
        <w:pStyle w:val="6"/>
      </w:pPr>
      <w:bookmarkStart w:id="29" w:name="_Toc17570"/>
      <w:bookmarkStart w:id="30" w:name="_Toc8111"/>
      <w:bookmarkStart w:id="31" w:name="_Toc8959"/>
      <w:r>
        <w:t>1、收费渠道和方式</w:t>
      </w:r>
      <w:bookmarkEnd w:id="29"/>
      <w:bookmarkEnd w:id="30"/>
      <w:bookmarkEnd w:id="31"/>
    </w:p>
    <w:p w14:paraId="5743AC8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32" w:name="_Toc30694"/>
      <w:bookmarkStart w:id="33" w:name="_Toc9412"/>
      <w:bookmarkStart w:id="34" w:name="_Toc32376"/>
      <w:r>
        <w:rPr>
          <w:rFonts w:ascii="Times New Roman Regular" w:hAnsi="Times New Roman Regular" w:eastAsia="仿宋_GB2312" w:cs="Times New Roman Regular"/>
          <w:color w:val="000000" w:themeColor="text1"/>
          <w:sz w:val="28"/>
          <w:szCs w:val="28"/>
          <w14:textFill>
            <w14:solidFill>
              <w14:schemeClr w14:val="tx1"/>
            </w14:solidFill>
          </w14:textFill>
        </w:rPr>
        <w:t>本项目采用使用者付费模式。特许经营单位通过政府支付代收污水处理费的方式收回运营维护成本，并获得合理利润。</w:t>
      </w:r>
    </w:p>
    <w:p w14:paraId="79B6A0E7">
      <w:pPr>
        <w:pStyle w:val="6"/>
      </w:pPr>
      <w:r>
        <w:t>2、特许经营实施方式</w:t>
      </w:r>
      <w:bookmarkEnd w:id="32"/>
      <w:bookmarkEnd w:id="33"/>
      <w:bookmarkEnd w:id="34"/>
    </w:p>
    <w:p w14:paraId="6E47BFD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本项目采用“TOT”的模式实施项目，具体模式如下：</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w:t>
      </w:r>
      <w:r>
        <w:rPr>
          <w:rFonts w:ascii="Times New Roman Regular" w:hAnsi="Times New Roman Regular" w:eastAsia="仿宋_GB2312" w:cs="Times New Roman Regular"/>
          <w:color w:val="000000" w:themeColor="text1"/>
          <w:sz w:val="28"/>
          <w:szCs w:val="28"/>
          <w14:textFill>
            <w14:solidFill>
              <w14:schemeClr w14:val="tx1"/>
            </w14:solidFill>
          </w14:textFill>
        </w:rPr>
        <w:t>采用TOT（转让－运营－移交）</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模式实施，政府根据第三方评估机构确定的本项目特许经营权价值确定特许经营权转让费的金额，通过公开招标选定特许经营单位，由其向政府支付特许经营权转让费，并获得本项目3</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年的特许经营权，政府每年向其支付服务费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特许经营期满后，特许经营单位将本项目项下的所有设施及资产无偿移交给区政府或其指定机构。</w:t>
      </w:r>
    </w:p>
    <w:p w14:paraId="51979A1C">
      <w:pPr>
        <w:pStyle w:val="6"/>
      </w:pPr>
      <w:bookmarkStart w:id="35" w:name="_Toc18608"/>
      <w:bookmarkStart w:id="36" w:name="_Toc31892"/>
      <w:bookmarkStart w:id="37" w:name="_Toc29894"/>
      <w:r>
        <w:t>3、特许经营期限</w:t>
      </w:r>
      <w:bookmarkEnd w:id="35"/>
      <w:bookmarkEnd w:id="36"/>
      <w:bookmarkEnd w:id="37"/>
    </w:p>
    <w:p w14:paraId="3FFFF98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本项目特许经营期限为</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30</w:t>
      </w:r>
      <w:r>
        <w:rPr>
          <w:rFonts w:ascii="Times New Roman Regular" w:hAnsi="Times New Roman Regular" w:eastAsia="仿宋_GB2312" w:cs="Times New Roman Regular"/>
          <w:color w:val="000000" w:themeColor="text1"/>
          <w:sz w:val="28"/>
          <w:szCs w:val="28"/>
          <w14:textFill>
            <w14:solidFill>
              <w14:schemeClr w14:val="tx1"/>
            </w14:solidFill>
          </w14:textFill>
        </w:rPr>
        <w:t>年。</w:t>
      </w:r>
    </w:p>
    <w:p w14:paraId="5A141285">
      <w:pPr>
        <w:pStyle w:val="6"/>
      </w:pPr>
      <w:bookmarkStart w:id="38" w:name="_Toc3307"/>
      <w:bookmarkStart w:id="39" w:name="_Toc511"/>
      <w:bookmarkStart w:id="40" w:name="_Toc14229"/>
      <w:r>
        <w:t>4、特许经营者选择方式</w:t>
      </w:r>
      <w:bookmarkEnd w:id="38"/>
      <w:bookmarkEnd w:id="39"/>
      <w:bookmarkEnd w:id="40"/>
    </w:p>
    <w:p w14:paraId="4F1762C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本项目特许经营者的选择方式采用公开招标，</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不</w:t>
      </w:r>
      <w:r>
        <w:rPr>
          <w:rFonts w:ascii="Times New Roman Regular" w:hAnsi="Times New Roman Regular" w:eastAsia="仿宋_GB2312" w:cs="Times New Roman Regular"/>
          <w:color w:val="000000" w:themeColor="text1"/>
          <w:sz w:val="28"/>
          <w:szCs w:val="28"/>
          <w14:textFill>
            <w14:solidFill>
              <w14:schemeClr w14:val="tx1"/>
            </w14:solidFill>
          </w14:textFill>
        </w:rPr>
        <w:t>接受联合体参与采购活动。</w:t>
      </w:r>
    </w:p>
    <w:p w14:paraId="4F35BD7E">
      <w:pPr>
        <w:pStyle w:val="6"/>
      </w:pPr>
      <w:r>
        <w:t>5、特许经营服务范围</w:t>
      </w:r>
    </w:p>
    <w:p w14:paraId="5BB36A0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（1）</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设施范围：包括上述</w:t>
      </w:r>
      <w:r>
        <w:rPr>
          <w:rFonts w:ascii="Times New Roman Regular" w:hAnsi="Times New Roman Regular" w:eastAsia="仿宋_GB2312" w:cs="Times New Roman Regular"/>
          <w:color w:val="000000" w:themeColor="text1"/>
          <w:sz w:val="28"/>
          <w:szCs w:val="28"/>
          <w14:textFill>
            <w14:solidFill>
              <w14:schemeClr w14:val="tx1"/>
            </w14:solidFill>
          </w14:textFill>
        </w:rPr>
        <w:t>52</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个自然村的农村污水治理设施及其配套管渠设施</w:t>
      </w:r>
      <w:r>
        <w:rPr>
          <w:rFonts w:ascii="Times New Roman Regular" w:hAnsi="Times New Roman Regular" w:eastAsia="仿宋_GB2312" w:cs="Times New Roman Regular"/>
          <w:color w:val="000000" w:themeColor="text1"/>
          <w:sz w:val="28"/>
          <w:szCs w:val="28"/>
          <w14:textFill>
            <w14:solidFill>
              <w14:schemeClr w14:val="tx1"/>
            </w14:solidFill>
          </w14:textFill>
        </w:rPr>
        <w:t>；</w:t>
      </w:r>
    </w:p>
    <w:p w14:paraId="22A1307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（2）运营维护</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内容：特许经营单位负责项目设施的运营及日常维护及维修，按照谨慎运营惯例处理全部污水并达标排放，包括但不限于：按照《广东省农村生活污水处理设施运营维护与评价标准》对污水收集系统检查与运行维护、对污水处理站点检查与运行维护、对污泥妥善处置、对水质进行检测等；</w:t>
      </w:r>
    </w:p>
    <w:p w14:paraId="1CCC37B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3</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）设备设施大修与重置：特许经营单位负责设施设备的大修与重置；</w:t>
      </w:r>
    </w:p>
    <w:p w14:paraId="6181569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）其他必要的协助及配合事项：防洪排涝服务工作、检查督查、数据调研等。</w:t>
      </w:r>
    </w:p>
    <w:p w14:paraId="39E2EDA4">
      <w:pPr>
        <w:pStyle w:val="6"/>
      </w:pPr>
      <w:r>
        <w:t>6、政府支持情况</w:t>
      </w:r>
    </w:p>
    <w:p w14:paraId="51C374C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做好与污水处理设施相关单位的衔接工作</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；责任缺陷期内存在应由施工单位负责的维修整改的项目，做好协商追责工作</w:t>
      </w:r>
      <w:r>
        <w:rPr>
          <w:rFonts w:ascii="Times New Roman Regular" w:hAnsi="Times New Roman Regular" w:eastAsia="仿宋_GB2312" w:cs="Times New Roman Regular"/>
          <w:color w:val="000000" w:themeColor="text1"/>
          <w:sz w:val="28"/>
          <w:szCs w:val="28"/>
          <w14:textFill>
            <w14:solidFill>
              <w14:schemeClr w14:val="tx1"/>
            </w14:solidFill>
          </w14:textFill>
        </w:rPr>
        <w:t>；对于运营期交叉的污水处理设施，原运营合同在</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新的特许经营合同生效</w:t>
      </w:r>
      <w:r>
        <w:rPr>
          <w:rFonts w:ascii="Times New Roman Regular" w:hAnsi="Times New Roman Regular" w:eastAsia="仿宋_GB2312" w:cs="Times New Roman Regular"/>
          <w:color w:val="000000" w:themeColor="text1"/>
          <w:sz w:val="28"/>
          <w:szCs w:val="28"/>
          <w14:textFill>
            <w14:solidFill>
              <w14:schemeClr w14:val="tx1"/>
            </w14:solidFill>
          </w14:textFill>
        </w:rPr>
        <w:t>之后尚未结束</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的</w:t>
      </w:r>
      <w:r>
        <w:rPr>
          <w:rFonts w:ascii="Times New Roman Regular" w:hAnsi="Times New Roman Regular" w:eastAsia="仿宋_GB2312" w:cs="Times New Roman Regular"/>
          <w:color w:val="000000" w:themeColor="text1"/>
          <w:sz w:val="28"/>
          <w:szCs w:val="28"/>
          <w14:textFill>
            <w14:solidFill>
              <w14:schemeClr w14:val="tx1"/>
            </w14:solidFill>
          </w14:textFill>
        </w:rPr>
        <w:t>，</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做好原合同终止工作</w:t>
      </w:r>
      <w:r>
        <w:rPr>
          <w:rFonts w:ascii="Times New Roman Regular" w:hAnsi="Times New Roman Regular" w:eastAsia="仿宋_GB2312" w:cs="Times New Roman Regular"/>
          <w:color w:val="000000" w:themeColor="text1"/>
          <w:sz w:val="28"/>
          <w:szCs w:val="28"/>
          <w14:textFill>
            <w14:solidFill>
              <w14:schemeClr w14:val="tx1"/>
            </w14:solidFill>
          </w14:textFill>
        </w:rPr>
        <w:t>。</w:t>
      </w:r>
    </w:p>
    <w:p w14:paraId="569187B8">
      <w:pPr>
        <w:rPr>
          <w:rFonts w:ascii="Times New Roman Regular" w:hAnsi="Times New Roman Regular" w:eastAsia="仿宋_GB2312" w:cs="Times New Roman Regular"/>
          <w:color w:val="000000" w:themeColor="text1"/>
          <w:kern w:val="0"/>
          <w:sz w:val="28"/>
          <w:szCs w:val="28"/>
          <w14:textFill>
            <w14:solidFill>
              <w14:schemeClr w14:val="tx1"/>
            </w14:solidFill>
          </w14:textFill>
        </w:rPr>
      </w:pPr>
      <w:r>
        <w:rPr>
          <w:rFonts w:ascii="Times New Roman Regular" w:hAnsi="Times New Roman Regular" w:eastAsia="仿宋_GB2312" w:cs="Times New Roman Regular"/>
          <w:color w:val="000000" w:themeColor="text1"/>
          <w:kern w:val="0"/>
          <w:sz w:val="28"/>
          <w:szCs w:val="28"/>
          <w14:textFill>
            <w14:solidFill>
              <w14:schemeClr w14:val="tx1"/>
            </w14:solidFill>
          </w14:textFill>
        </w:rPr>
        <w:br w:type="page"/>
      </w:r>
    </w:p>
    <w:p w14:paraId="28106F71">
      <w:pPr>
        <w:pStyle w:val="3"/>
      </w:pPr>
      <w:bookmarkStart w:id="41" w:name="_Toc23225"/>
      <w:bookmarkStart w:id="42" w:name="_Toc11762"/>
      <w:bookmarkStart w:id="43" w:name="_Toc188530546"/>
      <w:bookmarkStart w:id="44" w:name="_Toc18937"/>
      <w:r>
        <w:t>二、项目可行性分析</w:t>
      </w:r>
      <w:bookmarkEnd w:id="41"/>
      <w:bookmarkEnd w:id="42"/>
      <w:bookmarkEnd w:id="43"/>
      <w:bookmarkEnd w:id="44"/>
    </w:p>
    <w:p w14:paraId="19901479">
      <w:pPr>
        <w:pStyle w:val="4"/>
      </w:pPr>
      <w:bookmarkStart w:id="45" w:name="_Toc29515"/>
      <w:bookmarkStart w:id="46" w:name="_Toc188530547"/>
      <w:bookmarkStart w:id="47" w:name="_Toc32574"/>
      <w:bookmarkStart w:id="48" w:name="_Toc23484"/>
      <w:r>
        <w:t>（一）实施必要性</w:t>
      </w:r>
      <w:bookmarkEnd w:id="45"/>
      <w:bookmarkEnd w:id="46"/>
      <w:bookmarkEnd w:id="47"/>
      <w:bookmarkEnd w:id="48"/>
    </w:p>
    <w:p w14:paraId="1BF13BE6">
      <w:pPr>
        <w:pStyle w:val="43"/>
        <w:spacing w:before="156" w:after="156" w:line="360" w:lineRule="auto"/>
        <w:rPr>
          <w:rFonts w:ascii="仿宋_GB2312" w:eastAsia="仿宋_GB2312"/>
        </w:rPr>
      </w:pPr>
      <w:r>
        <w:rPr>
          <w:rFonts w:hint="eastAsia" w:ascii="仿宋_GB2312" w:eastAsia="仿宋_GB2312"/>
        </w:rPr>
        <w:t>党的十八大以来，党中央、国务院高度重视农村环境综合整治，大力推进农村生态文明建设。党的十九大以来，国家对乡村人居环境整治、农业绿色发展、乡村生态保护与修复等方面作出具体部署。农村生活污水治理实施乡村振兴战略重大历史任务之一，是建设生态宜居的美丽乡村的重要内容之一。2019 年3 月，生态环境部办公厅印发《关于进一步加强农业农村生态环境工作的指导意见》（环办土壤〔2019〕24 号），指导各地以县级行政区域为单元，科学规划和统筹治理农村的生活污水。2019 年10 月，省生态环境厅、农业农村厅、住房和城乡建设厅、水利厅联合印发《广东省农村生活污水治理攻坚实施方案（2019-2022）》，也对各地农村生活污水治理工作提出明确目标。截止2024年底，湘桥区新增完成</w:t>
      </w:r>
      <w:r>
        <w:rPr>
          <w:rFonts w:ascii="仿宋_GB2312" w:eastAsia="仿宋_GB2312"/>
        </w:rPr>
        <w:t>52</w:t>
      </w:r>
      <w:r>
        <w:rPr>
          <w:rFonts w:hint="eastAsia" w:ascii="仿宋_GB2312" w:eastAsia="仿宋_GB2312"/>
        </w:rPr>
        <w:t>个自然村的生活污水治理工作，全区自然村生活污水治理率达到</w:t>
      </w:r>
      <w:r>
        <w:rPr>
          <w:rFonts w:ascii="仿宋_GB2312" w:eastAsia="仿宋_GB2312"/>
        </w:rPr>
        <w:t>79.85%</w:t>
      </w:r>
      <w:r>
        <w:rPr>
          <w:rFonts w:hint="eastAsia" w:ascii="仿宋_GB2312" w:eastAsia="仿宋_GB2312"/>
        </w:rPr>
        <w:t>。为进一步提高农村污水治理设施运营维护效率，区政府拟将部分已建成的农村污水治理设施打包采用TOT模式交由专业运营单位进行运营维护。</w:t>
      </w:r>
    </w:p>
    <w:p w14:paraId="26B2D62F">
      <w:pPr>
        <w:pStyle w:val="43"/>
        <w:spacing w:before="156" w:after="156" w:line="360" w:lineRule="auto"/>
        <w:rPr>
          <w:rFonts w:ascii="仿宋_GB2312" w:eastAsia="仿宋_GB2312"/>
        </w:rPr>
      </w:pPr>
      <w:r>
        <w:rPr>
          <w:rFonts w:hint="eastAsia" w:ascii="仿宋_GB2312" w:eastAsia="仿宋_GB2312"/>
        </w:rPr>
        <w:t>根据《广东省住房和城乡建设厅广东省财政厅广东省发展和改革委员会关于印发污水处理费征收使用管理实施细则的通知》（粤建规范〔2024〕2 号）“第六条鼓励和引导社会资本参与基础设施和公用事业建设运营，开展污水设施项目特许经营，深入推进“厂网一体”专业化运维，激发民间投资活力，提高公共服务质量和效率，保障社会公共利益和公共安全，促进经济社会健康发展。”</w:t>
      </w:r>
    </w:p>
    <w:p w14:paraId="728F65A1">
      <w:pPr>
        <w:pStyle w:val="43"/>
        <w:spacing w:before="156" w:after="156" w:line="360" w:lineRule="auto"/>
        <w:rPr>
          <w:rFonts w:ascii="仿宋_GB2312" w:eastAsia="仿宋_GB2312"/>
        </w:rPr>
      </w:pPr>
      <w:r>
        <w:rPr>
          <w:rFonts w:hint="eastAsia" w:ascii="仿宋_GB2312" w:eastAsia="仿宋_GB2312"/>
        </w:rPr>
        <w:t>根据《广东省人民政府办公厅关于印发深化我省农村生活污水治理攻坚行动指导意见的通知》（粤办函 〔２０２１〕 ２８５ 号）“统建统管模式。以县 (市、 区) 或乡镇 (街道) 为单位设立或选取专业公司统一负责农村生活污水治理项目建设、运维、管理</w:t>
      </w:r>
      <w:r>
        <w:rPr>
          <w:rFonts w:hint="eastAsia" w:ascii="仿宋_GB2312" w:eastAsia="仿宋_GB2312" w:cs="Microsoft Yi Baiti" w:hAnsiTheme="minorEastAsia"/>
        </w:rPr>
        <w:t>，</w:t>
      </w:r>
      <w:r>
        <w:rPr>
          <w:rFonts w:hint="eastAsia" w:ascii="仿宋_GB2312" w:eastAsia="仿宋_GB2312"/>
        </w:rPr>
        <w:t>并按规定授予特许经营权</w:t>
      </w:r>
      <w:r>
        <w:rPr>
          <w:rFonts w:hint="eastAsia" w:ascii="仿宋_GB2312" w:eastAsia="仿宋_GB2312" w:cs="Microsoft Yi Baiti" w:hAnsiTheme="minorEastAsia"/>
        </w:rPr>
        <w:t>。</w:t>
      </w:r>
      <w:r>
        <w:rPr>
          <w:rFonts w:hint="eastAsia" w:ascii="仿宋_GB2312" w:eastAsia="仿宋_GB2312"/>
        </w:rPr>
        <w:t>”</w:t>
      </w:r>
    </w:p>
    <w:p w14:paraId="65124748">
      <w:pPr>
        <w:pStyle w:val="43"/>
        <w:spacing w:before="156" w:after="156" w:line="360" w:lineRule="auto"/>
        <w:rPr>
          <w:rFonts w:ascii="仿宋_GB2312" w:eastAsia="仿宋_GB2312"/>
        </w:rPr>
      </w:pPr>
      <w:r>
        <w:rPr>
          <w:rFonts w:hint="eastAsia" w:ascii="仿宋_GB2312" w:eastAsia="仿宋_GB2312"/>
        </w:rPr>
        <w:t>根据《关于进一步推进农村生活污水治理的指导意见》（环办土壤〔2023〕24号）“鼓励以县级行政区域为单元，推动专业化市场主体为主具体负责城乡生活污水处理设施建设和运行管理，并逐步将不同时期、不同主体建设的农村生活污水处理设施及收集系统纳入统一运维范围。”</w:t>
      </w:r>
    </w:p>
    <w:p w14:paraId="1AD0B8F0">
      <w:pPr>
        <w:pStyle w:val="43"/>
        <w:spacing w:before="156" w:after="156" w:line="360" w:lineRule="auto"/>
        <w:rPr>
          <w:rFonts w:ascii="仿宋_GB2312" w:eastAsia="仿宋_GB2312"/>
        </w:rPr>
      </w:pPr>
      <w:r>
        <w:rPr>
          <w:rFonts w:hint="eastAsia" w:ascii="仿宋_GB2312" w:eastAsia="仿宋_GB2312"/>
        </w:rPr>
        <w:t>因此，将湘桥区已建成的农村污水治理设施打包实施特许经营符合国家政策。</w:t>
      </w:r>
    </w:p>
    <w:p w14:paraId="586A6D7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将建成的农村污水治理设施，统一交由专业单位运营，能够加强农村生活污水处理设施的运维管理，有效解决农村生活污水治理工作中存在的机制体制不顺、职能不清、责任不明、运行不规范等问题，确保运维管理责任更加明确、运维标准更加统一、运维队伍更加稳定，保障农村生活污水处理设施正常运行，切实改善农村生态环境，助力乡村振兴。具体来说：</w:t>
      </w:r>
    </w:p>
    <w:p w14:paraId="5EB7DA8A">
      <w:pPr>
        <w:pStyle w:val="5"/>
      </w:pPr>
      <w:r>
        <w:rPr>
          <w:rFonts w:hint="eastAsia"/>
        </w:rPr>
        <w:t>1、解决机制不顺、职责不清、责任不明的问题</w:t>
      </w:r>
    </w:p>
    <w:p w14:paraId="53752CD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引入专业运营单位负责项目运营，通过与其签订</w:t>
      </w:r>
      <w:r>
        <w:rPr>
          <w:rFonts w:ascii="Times New Roman Regular" w:hAnsi="Times New Roman Regular" w:eastAsia="仿宋_GB2312" w:cs="Times New Roman Regular"/>
          <w:color w:val="000000" w:themeColor="text1"/>
          <w:sz w:val="28"/>
          <w:szCs w:val="28"/>
          <w14:textFill>
            <w14:solidFill>
              <w14:schemeClr w14:val="tx1"/>
            </w14:solidFill>
          </w14:textFill>
        </w:rPr>
        <w:t>详细、严谨的运营合同，清晰界定双方权利义务</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合同中明确规定污水处理的各项标准、流程、运营期限、付费方式等关键内容，从法律层面确保双方知晓自身职责，避免以往因口头约定或模糊协议造成的职能不清局面。</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同时，也解决了政府“既是运动员又是裁判员”的问题，而回归监管者的角色。</w:t>
      </w:r>
      <w:r>
        <w:rPr>
          <w:rFonts w:ascii="Times New Roman Regular" w:hAnsi="Times New Roman Regular" w:eastAsia="仿宋_GB2312" w:cs="Times New Roman Regular"/>
          <w:color w:val="000000" w:themeColor="text1"/>
          <w:sz w:val="28"/>
          <w:szCs w:val="28"/>
          <w14:textFill>
            <w14:solidFill>
              <w14:schemeClr w14:val="tx1"/>
            </w14:solidFill>
          </w14:textFill>
        </w:rPr>
        <w:t>专业机构作为独立运营主体，独立承担污水处理达标、环境合规等主体责任，不再出现以往村委运营时，因内部职责交叉、人员更迭等因素，找不到责任主体，相互推诿扯皮的乱象，以清晰责任促高效运营，保障农村污水治理长效稳定。</w:t>
      </w:r>
    </w:p>
    <w:p w14:paraId="2D61CF7C">
      <w:pPr>
        <w:pStyle w:val="5"/>
      </w:pPr>
      <w:r>
        <w:t>2</w:t>
      </w:r>
      <w:r>
        <w:rPr>
          <w:rFonts w:hint="eastAsia"/>
        </w:rPr>
        <w:t>、解决</w:t>
      </w:r>
      <w:r>
        <w:t>专业人才匮乏</w:t>
      </w:r>
      <w:r>
        <w:rPr>
          <w:rFonts w:hint="eastAsia"/>
        </w:rPr>
        <w:t>的问题</w:t>
      </w:r>
    </w:p>
    <w:p w14:paraId="1C619AF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农村地区本身人才吸引力有限，村委工作人员大多缺乏污水处理相关专业背景知识，如给排水工程、环境工程等专业技能。在日常运维中，难以对复杂的污水处理工艺进行科学调试与优化，面对设备故障时，无法准确判断故障根源并及时修复，极大制约污水处理设施的正常运行效果。</w:t>
      </w:r>
    </w:p>
    <w:p w14:paraId="6783DF0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将项目统一交由专业运营单位运营管理，他们具有丰富的污水处理运营经营以及人才储备，实现“专业的人，做专业的事”，有利于提高农村污水治理设施运营管理效率。</w:t>
      </w:r>
    </w:p>
    <w:p w14:paraId="4910312A">
      <w:pPr>
        <w:pStyle w:val="5"/>
      </w:pPr>
      <w:r>
        <w:t>3</w:t>
      </w:r>
      <w:r>
        <w:rPr>
          <w:rFonts w:hint="eastAsia"/>
        </w:rPr>
        <w:t>、解决</w:t>
      </w:r>
      <w:r>
        <w:t>资金保障不足</w:t>
      </w:r>
      <w:r>
        <w:rPr>
          <w:rFonts w:hint="eastAsia"/>
        </w:rPr>
        <w:t>问题</w:t>
      </w:r>
    </w:p>
    <w:p w14:paraId="283E681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村委资金来源渠道有限，主要依赖上级财政拨款，缺乏自筹资金能力。这使得在污水处理设施运营过程中，一旦遇到设备更新、药剂采购资金缺口，难以及时补充资金，容易出现设备停运、处理工艺中断等问题。</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同时，</w:t>
      </w:r>
      <w:r>
        <w:rPr>
          <w:rFonts w:ascii="Times New Roman Regular" w:hAnsi="Times New Roman Regular" w:eastAsia="仿宋_GB2312" w:cs="Times New Roman Regular"/>
          <w:color w:val="000000" w:themeColor="text1"/>
          <w:sz w:val="28"/>
          <w:szCs w:val="28"/>
          <w14:textFill>
            <w14:solidFill>
              <w14:schemeClr w14:val="tx1"/>
            </w14:solidFill>
          </w14:textFill>
        </w:rPr>
        <w:t>缺乏有效的资金管理经验，在预算编制、</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资金使用流程、</w:t>
      </w:r>
      <w:r>
        <w:rPr>
          <w:rFonts w:ascii="Times New Roman Regular" w:hAnsi="Times New Roman Regular" w:eastAsia="仿宋_GB2312" w:cs="Times New Roman Regular"/>
          <w:color w:val="000000" w:themeColor="text1"/>
          <w:sz w:val="28"/>
          <w:szCs w:val="28"/>
          <w14:textFill>
            <w14:solidFill>
              <w14:schemeClr w14:val="tx1"/>
            </w14:solidFill>
          </w14:textFill>
        </w:rPr>
        <w:t>成本控制方面存在短板</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，容易</w:t>
      </w:r>
      <w:r>
        <w:rPr>
          <w:rFonts w:ascii="Times New Roman Regular" w:hAnsi="Times New Roman Regular" w:eastAsia="仿宋_GB2312" w:cs="Times New Roman Regular"/>
          <w:color w:val="000000" w:themeColor="text1"/>
          <w:sz w:val="28"/>
          <w:szCs w:val="28"/>
          <w14:textFill>
            <w14:solidFill>
              <w14:schemeClr w14:val="tx1"/>
            </w14:solidFill>
          </w14:textFill>
        </w:rPr>
        <w:t>出现资金分配不合理，忽视后续运维资金储备，导致设施 “建得起、养不起” 的困境。</w:t>
      </w:r>
    </w:p>
    <w:p w14:paraId="6077F47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专业机构能够通过规模化运营，整合资源，降低单位污水处理成本。统一采购设备配件、药剂等物资，享受批量采购优惠，减少物资采购支出。同时，合理调配人力、物力，避免农村分散管理导致的人员冗余、设备闲置等浪费现象，实现高效、经济的运营模式。精准的设备运维计划可延长设备使用寿命，减少频繁更换设备带来的高额成本。专业机构依据设备运行数据科学安排维护保养周期，而农村自行运维可能因缺乏专业知识，错过最佳维护时机，加速设备老化损坏。</w:t>
      </w:r>
    </w:p>
    <w:p w14:paraId="7D2B7CC3">
      <w:pPr>
        <w:pStyle w:val="5"/>
      </w:pPr>
      <w:r>
        <w:t>4</w:t>
      </w:r>
      <w:r>
        <w:rPr>
          <w:rFonts w:hint="eastAsia"/>
        </w:rPr>
        <w:t>、解决</w:t>
      </w:r>
      <w:r>
        <w:t>管理缺乏系统性</w:t>
      </w:r>
      <w:r>
        <w:rPr>
          <w:rFonts w:hint="eastAsia"/>
        </w:rPr>
        <w:t>问题</w:t>
      </w:r>
    </w:p>
    <w:p w14:paraId="21C55D2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村委日常事务繁杂，难以集中精力专注于污水处理设施运营管理。工作安排缺乏统筹规划，人员职责不清，易出现互相推诿、工作疏漏等情况，使得污水处理运营流程混乱，效率低下。没有建立完善的运营管理制度与考核监督机制，无法对运维工作质量、人员绩效进行有效评估与约束，难以保证污水处理工作长期稳定达标。</w:t>
      </w:r>
    </w:p>
    <w:p w14:paraId="2972010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专业机构</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能够</w:t>
      </w:r>
      <w:r>
        <w:rPr>
          <w:rFonts w:ascii="Times New Roman Regular" w:hAnsi="Times New Roman Regular" w:eastAsia="仿宋_GB2312" w:cs="Times New Roman Regular"/>
          <w:color w:val="000000" w:themeColor="text1"/>
          <w:sz w:val="28"/>
          <w:szCs w:val="28"/>
          <w14:textFill>
            <w14:solidFill>
              <w14:schemeClr w14:val="tx1"/>
            </w14:solidFill>
          </w14:textFill>
        </w:rPr>
        <w:t>实时跟踪政策法规动态，确保运营管理全程合规，按时、按质完成水质监测、数据上报等任务，助力农村地区规避环保处罚风险，保障区域生态环境安全。</w:t>
      </w:r>
    </w:p>
    <w:p w14:paraId="4EA2B77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综上所述，农村污水治理设施引入专业机构统一运营管理</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，采用TOT特许经营模式，设置“统一管养、按效付费”机制，有利于改变部分农村污水治理设施运行效率不高的局面，确保农村生活污水处理设施稳定运行。</w:t>
      </w:r>
    </w:p>
    <w:p w14:paraId="3323A3E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3880864F">
      <w:pPr>
        <w:pStyle w:val="4"/>
      </w:pPr>
      <w:bookmarkStart w:id="49" w:name="_Toc2915"/>
      <w:bookmarkStart w:id="50" w:name="_Toc9125"/>
      <w:bookmarkStart w:id="51" w:name="_Toc188530548"/>
      <w:bookmarkStart w:id="52" w:name="_Toc16835"/>
      <w:r>
        <w:t>（二）运营服务内容</w:t>
      </w:r>
      <w:bookmarkEnd w:id="49"/>
      <w:bookmarkEnd w:id="50"/>
      <w:bookmarkEnd w:id="51"/>
      <w:bookmarkEnd w:id="52"/>
    </w:p>
    <w:p w14:paraId="28A3C54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53" w:name="_Toc1484"/>
      <w:bookmarkStart w:id="54" w:name="_Toc22885"/>
      <w:bookmarkStart w:id="55" w:name="_Toc9241"/>
      <w:r>
        <w:rPr>
          <w:rFonts w:ascii="Times New Roman Regular" w:hAnsi="Times New Roman Regular" w:eastAsia="仿宋_GB2312" w:cs="Times New Roman Regular"/>
          <w:color w:val="000000" w:themeColor="text1"/>
          <w:sz w:val="28"/>
          <w:szCs w:val="28"/>
          <w14:textFill>
            <w14:solidFill>
              <w14:schemeClr w14:val="tx1"/>
            </w14:solidFill>
          </w14:textFill>
        </w:rPr>
        <w:t>（1）</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设施范围：包括上述</w:t>
      </w:r>
      <w:r>
        <w:rPr>
          <w:rFonts w:ascii="Times New Roman Regular" w:hAnsi="Times New Roman Regular" w:eastAsia="仿宋_GB2312" w:cs="Times New Roman Regular"/>
          <w:color w:val="000000" w:themeColor="text1"/>
          <w:sz w:val="28"/>
          <w:szCs w:val="28"/>
          <w14:textFill>
            <w14:solidFill>
              <w14:schemeClr w14:val="tx1"/>
            </w14:solidFill>
          </w14:textFill>
        </w:rPr>
        <w:t>52</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个自然村的污水处理设施及其配套管网设施</w:t>
      </w:r>
      <w:r>
        <w:rPr>
          <w:rFonts w:ascii="Times New Roman Regular" w:hAnsi="Times New Roman Regular" w:eastAsia="仿宋_GB2312" w:cs="Times New Roman Regular"/>
          <w:color w:val="000000" w:themeColor="text1"/>
          <w:sz w:val="28"/>
          <w:szCs w:val="28"/>
          <w14:textFill>
            <w14:solidFill>
              <w14:schemeClr w14:val="tx1"/>
            </w14:solidFill>
          </w14:textFill>
        </w:rPr>
        <w:t>；</w:t>
      </w:r>
    </w:p>
    <w:p w14:paraId="2DD2F83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（2）运营维护</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内容：特许经营单位负责项目设施的运营及日常维护及维修，按照谨慎运营惯例处理全部污水并达标排放，包括但不限于：参照《广东省农村生活污水处理设施运营维护与评价标准》对污水收集系统检查与运行维护、对污水处理站点检查与运行维护、对污泥妥善处置、水质检测等；</w:t>
      </w:r>
    </w:p>
    <w:p w14:paraId="11888F1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3</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）设备设施大修与重置：特许经营单位负责设施设备的大修与重置；</w:t>
      </w:r>
    </w:p>
    <w:p w14:paraId="3EE6925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）其他必要的协助及配合事项：防洪排涝服务工作、检查督查、数据调研等。</w:t>
      </w:r>
    </w:p>
    <w:p w14:paraId="1D1DC4E0">
      <w:pPr>
        <w:pStyle w:val="4"/>
      </w:pPr>
      <w:bookmarkStart w:id="56" w:name="_Toc188530549"/>
      <w:r>
        <w:t>（三）运营服务标准</w:t>
      </w:r>
      <w:bookmarkEnd w:id="53"/>
      <w:bookmarkEnd w:id="54"/>
      <w:bookmarkEnd w:id="55"/>
      <w:bookmarkEnd w:id="56"/>
    </w:p>
    <w:p w14:paraId="0C33F328">
      <w:pPr>
        <w:pStyle w:val="38"/>
        <w:ind w:firstLine="565" w:firstLineChars="202"/>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根据《广东省农村生活污水处理排放标准》（</w:t>
      </w:r>
      <w:r>
        <w:rPr>
          <w:rFonts w:ascii="Times New Roman Regular" w:hAnsi="Times New Roman Regular" w:eastAsia="仿宋_GB2312" w:cs="Times New Roman Regular"/>
          <w:color w:val="000000" w:themeColor="text1"/>
          <w:sz w:val="28"/>
          <w:szCs w:val="28"/>
          <w14:textFill>
            <w14:solidFill>
              <w14:schemeClr w14:val="tx1"/>
            </w14:solidFill>
          </w14:textFill>
        </w:rPr>
        <w:t>DB 44/2208-2019</w:t>
      </w:r>
    </w:p>
    <w:p w14:paraId="2E5E5D6B">
      <w:pPr>
        <w:autoSpaceDE w:val="0"/>
        <w:autoSpaceDN w:val="0"/>
        <w:adjustRightInd w:val="0"/>
        <w:ind w:firstLine="565" w:firstLineChars="202"/>
        <w:jc w:val="left"/>
        <w:rPr>
          <w:rFonts w:ascii="Times New Roman Regular" w:hAnsi="Times New Roman Regular" w:eastAsia="仿宋_GB2312" w:cs="Times New Roman Regular"/>
          <w:color w:val="000000" w:themeColor="text1"/>
          <w:kern w:val="0"/>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“根据农村生活污水处理设施出水排放去向和处理规模，将农村生活污水处理设施水污染物排放标准分为一级标准、二级标准和三级标准。</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 xml:space="preserve"> </w:t>
      </w:r>
    </w:p>
    <w:p w14:paraId="7532A078">
      <w:pPr>
        <w:autoSpaceDE w:val="0"/>
        <w:autoSpaceDN w:val="0"/>
        <w:adjustRightInd w:val="0"/>
        <w:ind w:firstLine="565" w:firstLineChars="202"/>
        <w:jc w:val="left"/>
        <w:rPr>
          <w:rFonts w:ascii="Times New Roman Regular" w:hAnsi="Times New Roman Regular" w:eastAsia="仿宋_GB2312" w:cs="Times New Roman Regular"/>
          <w:color w:val="000000" w:themeColor="text1"/>
          <w:kern w:val="0"/>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出水排入环境功能明确的水体，执行表</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1</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中的一级标准。</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 xml:space="preserve"> </w:t>
      </w:r>
    </w:p>
    <w:p w14:paraId="32430A30">
      <w:pPr>
        <w:autoSpaceDE w:val="0"/>
        <w:autoSpaceDN w:val="0"/>
        <w:adjustRightInd w:val="0"/>
        <w:ind w:firstLine="565" w:firstLineChars="202"/>
        <w:jc w:val="left"/>
        <w:rPr>
          <w:rFonts w:ascii="Times New Roman Regular" w:hAnsi="Times New Roman Regular" w:eastAsia="仿宋_GB2312" w:cs="Times New Roman Regular"/>
          <w:color w:val="000000" w:themeColor="text1"/>
          <w:kern w:val="0"/>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处理规模</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20 m</w:t>
      </w:r>
      <w:r>
        <w:rPr>
          <w:rFonts w:ascii="Times New Roman Regular" w:hAnsi="Times New Roman Regular" w:eastAsia="仿宋_GB2312" w:cs="Times New Roman Regular"/>
          <w:color w:val="000000" w:themeColor="text1"/>
          <w:kern w:val="0"/>
          <w:sz w:val="28"/>
          <w:szCs w:val="28"/>
          <w:vertAlign w:val="superscript"/>
          <w14:textFill>
            <w14:solidFill>
              <w14:schemeClr w14:val="tx1"/>
            </w14:solidFill>
          </w14:textFill>
        </w:rPr>
        <w:t>3</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/d</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及以上的设施出水排入环境功能未明确的水体，执行表</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1</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中的二级标准。</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 xml:space="preserve"> </w:t>
      </w:r>
    </w:p>
    <w:p w14:paraId="50EAB12C">
      <w:pPr>
        <w:autoSpaceDE w:val="0"/>
        <w:autoSpaceDN w:val="0"/>
        <w:adjustRightInd w:val="0"/>
        <w:ind w:firstLine="565" w:firstLineChars="202"/>
        <w:jc w:val="left"/>
        <w:rPr>
          <w:rFonts w:ascii="Times New Roman Regular" w:hAnsi="Times New Roman Regular" w:eastAsia="仿宋_GB2312" w:cs="Times New Roman Regular"/>
          <w:color w:val="000000" w:themeColor="text1"/>
          <w:kern w:val="0"/>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处理规模小于</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20 m</w:t>
      </w:r>
      <w:r>
        <w:rPr>
          <w:rFonts w:ascii="Times New Roman Regular" w:hAnsi="Times New Roman Regular" w:eastAsia="仿宋_GB2312" w:cs="Times New Roman Regular"/>
          <w:color w:val="000000" w:themeColor="text1"/>
          <w:kern w:val="0"/>
          <w:sz w:val="28"/>
          <w:szCs w:val="28"/>
          <w:vertAlign w:val="superscript"/>
          <w14:textFill>
            <w14:solidFill>
              <w14:schemeClr w14:val="tx1"/>
            </w14:solidFill>
          </w14:textFill>
        </w:rPr>
        <w:t>3</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/d</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的设施出水排入环境功能未明确的水体，执行表</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1</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中的三级标准。”</w:t>
      </w:r>
    </w:p>
    <w:p w14:paraId="6BB2F474">
      <w:pPr>
        <w:pStyle w:val="2"/>
        <w:rPr>
          <w:sz w:val="22"/>
          <w:szCs w:val="21"/>
        </w:rPr>
      </w:pPr>
      <w:r>
        <w:rPr>
          <w:rFonts w:hint="eastAsia"/>
        </w:rPr>
        <w:t>表</w:t>
      </w:r>
      <w:r>
        <w:rPr>
          <w:rFonts w:cs="Times New Roman"/>
        </w:rPr>
        <w:t xml:space="preserve">2-1  </w:t>
      </w:r>
      <w:r>
        <w:rPr>
          <w:rFonts w:hint="eastAsia"/>
        </w:rPr>
        <w:t>水污染物排放限值单位：mg/L（pH值除外）</w:t>
      </w:r>
    </w:p>
    <w:p w14:paraId="2DCE9853">
      <w:pPr>
        <w:pStyle w:val="2"/>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1985"/>
        <w:gridCol w:w="1843"/>
        <w:gridCol w:w="1971"/>
      </w:tblGrid>
      <w:tr w14:paraId="68AF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26" w:type="dxa"/>
            <w:vMerge w:val="restart"/>
          </w:tcPr>
          <w:p w14:paraId="21103053">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序号</w:t>
            </w:r>
          </w:p>
        </w:tc>
        <w:tc>
          <w:tcPr>
            <w:tcW w:w="1984" w:type="dxa"/>
            <w:vMerge w:val="restart"/>
          </w:tcPr>
          <w:p w14:paraId="74695189">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控制项目名称</w:t>
            </w:r>
          </w:p>
        </w:tc>
        <w:tc>
          <w:tcPr>
            <w:tcW w:w="5799" w:type="dxa"/>
            <w:gridSpan w:val="3"/>
          </w:tcPr>
          <w:p w14:paraId="13276089">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限值</w:t>
            </w:r>
          </w:p>
        </w:tc>
      </w:tr>
      <w:tr w14:paraId="1D6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26" w:type="dxa"/>
            <w:vMerge w:val="continue"/>
          </w:tcPr>
          <w:p w14:paraId="162F7862">
            <w:pPr>
              <w:autoSpaceDE w:val="0"/>
              <w:autoSpaceDN w:val="0"/>
              <w:adjustRightInd w:val="0"/>
              <w:spacing w:line="360" w:lineRule="auto"/>
              <w:jc w:val="center"/>
              <w:rPr>
                <w:rFonts w:ascii="仿宋_GB2312" w:hAnsi="Times New Roman" w:eastAsia="仿宋_GB2312" w:cs="宋体"/>
                <w:color w:val="000000"/>
                <w:kern w:val="0"/>
                <w:sz w:val="24"/>
              </w:rPr>
            </w:pPr>
          </w:p>
        </w:tc>
        <w:tc>
          <w:tcPr>
            <w:tcW w:w="1984" w:type="dxa"/>
            <w:vMerge w:val="continue"/>
          </w:tcPr>
          <w:p w14:paraId="0535C205">
            <w:pPr>
              <w:autoSpaceDE w:val="0"/>
              <w:autoSpaceDN w:val="0"/>
              <w:adjustRightInd w:val="0"/>
              <w:spacing w:line="360" w:lineRule="auto"/>
              <w:jc w:val="center"/>
              <w:rPr>
                <w:rFonts w:ascii="仿宋_GB2312" w:hAnsi="Times New Roman" w:eastAsia="仿宋_GB2312" w:cs="宋体"/>
                <w:color w:val="000000"/>
                <w:kern w:val="0"/>
                <w:sz w:val="24"/>
              </w:rPr>
            </w:pPr>
          </w:p>
        </w:tc>
        <w:tc>
          <w:tcPr>
            <w:tcW w:w="1985" w:type="dxa"/>
          </w:tcPr>
          <w:p w14:paraId="1FE61ADF">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一级标准</w:t>
            </w:r>
          </w:p>
        </w:tc>
        <w:tc>
          <w:tcPr>
            <w:tcW w:w="1843" w:type="dxa"/>
          </w:tcPr>
          <w:p w14:paraId="59A1AC36">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二级标准</w:t>
            </w:r>
          </w:p>
        </w:tc>
        <w:tc>
          <w:tcPr>
            <w:tcW w:w="1971" w:type="dxa"/>
          </w:tcPr>
          <w:p w14:paraId="2A586D3C">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三级标准</w:t>
            </w:r>
          </w:p>
        </w:tc>
      </w:tr>
      <w:tr w14:paraId="42EE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526" w:type="dxa"/>
          </w:tcPr>
          <w:p w14:paraId="1B159176">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1</w:t>
            </w:r>
          </w:p>
        </w:tc>
        <w:tc>
          <w:tcPr>
            <w:tcW w:w="1984" w:type="dxa"/>
          </w:tcPr>
          <w:p w14:paraId="30E87174">
            <w:pPr>
              <w:autoSpaceDE w:val="0"/>
              <w:autoSpaceDN w:val="0"/>
              <w:adjustRightInd w:val="0"/>
              <w:spacing w:line="360" w:lineRule="auto"/>
              <w:jc w:val="center"/>
              <w:rPr>
                <w:rFonts w:ascii="仿宋_GB2312" w:hAnsi="Times New Roman" w:eastAsia="仿宋_GB2312" w:cs="Times New Roman"/>
                <w:color w:val="000000"/>
                <w:kern w:val="0"/>
                <w:sz w:val="24"/>
              </w:rPr>
            </w:pPr>
            <w:r>
              <w:rPr>
                <w:rFonts w:hint="eastAsia" w:ascii="仿宋_GB2312" w:hAnsi="Times New Roman" w:eastAsia="仿宋_GB2312" w:cs="Times New Roman"/>
                <w:color w:val="000000"/>
                <w:kern w:val="0"/>
                <w:sz w:val="24"/>
              </w:rPr>
              <w:t>pH</w:t>
            </w:r>
            <w:r>
              <w:rPr>
                <w:rFonts w:hint="eastAsia" w:ascii="仿宋_GB2312" w:hAnsi="Times New Roman" w:eastAsia="仿宋_GB2312" w:cs="宋体"/>
                <w:color w:val="000000"/>
                <w:kern w:val="0"/>
                <w:sz w:val="24"/>
              </w:rPr>
              <w:t>值（无量纲）</w:t>
            </w:r>
          </w:p>
        </w:tc>
        <w:tc>
          <w:tcPr>
            <w:tcW w:w="5799" w:type="dxa"/>
            <w:gridSpan w:val="3"/>
          </w:tcPr>
          <w:p w14:paraId="13CD381D">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6</w:t>
            </w:r>
            <w:r>
              <w:rPr>
                <w:rFonts w:hint="eastAsia" w:ascii="仿宋_GB2312" w:hAnsi="Times New Roman" w:eastAsia="仿宋_GB2312" w:cs="宋体"/>
                <w:color w:val="000000"/>
                <w:kern w:val="0"/>
                <w:sz w:val="24"/>
              </w:rPr>
              <w:t>～</w:t>
            </w:r>
            <w:r>
              <w:rPr>
                <w:rFonts w:ascii="仿宋_GB2312" w:hAnsi="Times New Roman" w:eastAsia="仿宋_GB2312" w:cs="Times New Roman"/>
                <w:color w:val="000000"/>
                <w:kern w:val="0"/>
                <w:sz w:val="24"/>
              </w:rPr>
              <w:t>9</w:t>
            </w:r>
          </w:p>
        </w:tc>
      </w:tr>
      <w:tr w14:paraId="4A4C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526" w:type="dxa"/>
          </w:tcPr>
          <w:p w14:paraId="4FEF8835">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2</w:t>
            </w:r>
          </w:p>
        </w:tc>
        <w:tc>
          <w:tcPr>
            <w:tcW w:w="1984" w:type="dxa"/>
          </w:tcPr>
          <w:p w14:paraId="33493C3C">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悬浮物</w:t>
            </w:r>
          </w:p>
        </w:tc>
        <w:tc>
          <w:tcPr>
            <w:tcW w:w="1985" w:type="dxa"/>
          </w:tcPr>
          <w:p w14:paraId="1B98A19E">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20</w:t>
            </w:r>
          </w:p>
        </w:tc>
        <w:tc>
          <w:tcPr>
            <w:tcW w:w="1843" w:type="dxa"/>
          </w:tcPr>
          <w:p w14:paraId="497CD961">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30</w:t>
            </w:r>
          </w:p>
        </w:tc>
        <w:tc>
          <w:tcPr>
            <w:tcW w:w="1971" w:type="dxa"/>
          </w:tcPr>
          <w:p w14:paraId="55AC33CE">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50</w:t>
            </w:r>
          </w:p>
        </w:tc>
      </w:tr>
      <w:tr w14:paraId="7F74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526" w:type="dxa"/>
          </w:tcPr>
          <w:p w14:paraId="6CB1C4CF">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3</w:t>
            </w:r>
          </w:p>
        </w:tc>
        <w:tc>
          <w:tcPr>
            <w:tcW w:w="1984" w:type="dxa"/>
          </w:tcPr>
          <w:p w14:paraId="7AD8186E">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化学需氧量</w:t>
            </w:r>
          </w:p>
        </w:tc>
        <w:tc>
          <w:tcPr>
            <w:tcW w:w="1985" w:type="dxa"/>
          </w:tcPr>
          <w:p w14:paraId="4F2E2F11">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60</w:t>
            </w:r>
          </w:p>
        </w:tc>
        <w:tc>
          <w:tcPr>
            <w:tcW w:w="1843" w:type="dxa"/>
          </w:tcPr>
          <w:p w14:paraId="39D089CD">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70</w:t>
            </w:r>
          </w:p>
        </w:tc>
        <w:tc>
          <w:tcPr>
            <w:tcW w:w="1971" w:type="dxa"/>
          </w:tcPr>
          <w:p w14:paraId="10434329">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100</w:t>
            </w:r>
          </w:p>
        </w:tc>
      </w:tr>
      <w:tr w14:paraId="0FEF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526" w:type="dxa"/>
          </w:tcPr>
          <w:p w14:paraId="26DCE61A">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4</w:t>
            </w:r>
          </w:p>
        </w:tc>
        <w:tc>
          <w:tcPr>
            <w:tcW w:w="1984" w:type="dxa"/>
          </w:tcPr>
          <w:p w14:paraId="0374299F">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氨氮①</w:t>
            </w:r>
          </w:p>
        </w:tc>
        <w:tc>
          <w:tcPr>
            <w:tcW w:w="1985" w:type="dxa"/>
          </w:tcPr>
          <w:p w14:paraId="1A6D78C1">
            <w:pPr>
              <w:autoSpaceDE w:val="0"/>
              <w:autoSpaceDN w:val="0"/>
              <w:adjustRightInd w:val="0"/>
              <w:spacing w:line="360" w:lineRule="auto"/>
              <w:jc w:val="center"/>
              <w:rPr>
                <w:rFonts w:ascii="仿宋_GB2312" w:hAnsi="Times New Roman" w:eastAsia="仿宋_GB2312" w:cs="宋体"/>
                <w:color w:val="000000"/>
                <w:kern w:val="0"/>
                <w:sz w:val="24"/>
              </w:rPr>
            </w:pPr>
            <w:r>
              <w:rPr>
                <w:rFonts w:ascii="仿宋_GB2312" w:hAnsi="Times New Roman" w:eastAsia="仿宋_GB2312" w:cs="Times New Roman"/>
                <w:color w:val="000000"/>
                <w:kern w:val="0"/>
                <w:sz w:val="24"/>
              </w:rPr>
              <w:t>8</w:t>
            </w:r>
            <w:r>
              <w:rPr>
                <w:rFonts w:hint="eastAsia" w:ascii="仿宋_GB2312" w:hAnsi="Times New Roman" w:eastAsia="仿宋_GB2312" w:cs="宋体"/>
                <w:color w:val="000000"/>
                <w:kern w:val="0"/>
                <w:sz w:val="24"/>
              </w:rPr>
              <w:t>（</w:t>
            </w:r>
            <w:r>
              <w:rPr>
                <w:rFonts w:ascii="仿宋_GB2312" w:hAnsi="Times New Roman" w:eastAsia="仿宋_GB2312" w:cs="Times New Roman"/>
                <w:color w:val="000000"/>
                <w:kern w:val="0"/>
                <w:sz w:val="24"/>
              </w:rPr>
              <w:t>15</w:t>
            </w:r>
            <w:r>
              <w:rPr>
                <w:rFonts w:hint="eastAsia" w:ascii="仿宋_GB2312" w:hAnsi="Times New Roman" w:eastAsia="仿宋_GB2312" w:cs="宋体"/>
                <w:color w:val="000000"/>
                <w:kern w:val="0"/>
                <w:sz w:val="24"/>
              </w:rPr>
              <w:t>）</w:t>
            </w:r>
          </w:p>
        </w:tc>
        <w:tc>
          <w:tcPr>
            <w:tcW w:w="1843" w:type="dxa"/>
          </w:tcPr>
          <w:p w14:paraId="74BE3C3B">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15</w:t>
            </w:r>
          </w:p>
        </w:tc>
        <w:tc>
          <w:tcPr>
            <w:tcW w:w="1971" w:type="dxa"/>
          </w:tcPr>
          <w:p w14:paraId="4119A582">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25</w:t>
            </w:r>
          </w:p>
        </w:tc>
      </w:tr>
      <w:tr w14:paraId="3747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526" w:type="dxa"/>
          </w:tcPr>
          <w:p w14:paraId="6B42B61E">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5</w:t>
            </w:r>
          </w:p>
        </w:tc>
        <w:tc>
          <w:tcPr>
            <w:tcW w:w="1984" w:type="dxa"/>
          </w:tcPr>
          <w:p w14:paraId="79519ADA">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动植物油②</w:t>
            </w:r>
          </w:p>
        </w:tc>
        <w:tc>
          <w:tcPr>
            <w:tcW w:w="1985" w:type="dxa"/>
          </w:tcPr>
          <w:p w14:paraId="4AAE8412">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3</w:t>
            </w:r>
          </w:p>
        </w:tc>
        <w:tc>
          <w:tcPr>
            <w:tcW w:w="3814" w:type="dxa"/>
            <w:gridSpan w:val="2"/>
          </w:tcPr>
          <w:p w14:paraId="240D8F84">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5</w:t>
            </w:r>
          </w:p>
        </w:tc>
      </w:tr>
      <w:tr w14:paraId="6D88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526" w:type="dxa"/>
          </w:tcPr>
          <w:p w14:paraId="4D2483F3">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6</w:t>
            </w:r>
          </w:p>
        </w:tc>
        <w:tc>
          <w:tcPr>
            <w:tcW w:w="1984" w:type="dxa"/>
          </w:tcPr>
          <w:p w14:paraId="0CE6CE75">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总磷③</w:t>
            </w:r>
          </w:p>
        </w:tc>
        <w:tc>
          <w:tcPr>
            <w:tcW w:w="1985" w:type="dxa"/>
          </w:tcPr>
          <w:p w14:paraId="0D8B156E">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1</w:t>
            </w:r>
          </w:p>
        </w:tc>
        <w:tc>
          <w:tcPr>
            <w:tcW w:w="1843" w:type="dxa"/>
          </w:tcPr>
          <w:p w14:paraId="2BC1D5E8">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w:t>
            </w:r>
          </w:p>
        </w:tc>
        <w:tc>
          <w:tcPr>
            <w:tcW w:w="1971" w:type="dxa"/>
          </w:tcPr>
          <w:p w14:paraId="463800EB">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hAnsi="Times New Roman" w:eastAsia="仿宋_GB2312" w:cs="Times New Roman"/>
                <w:color w:val="000000"/>
                <w:kern w:val="0"/>
                <w:sz w:val="24"/>
              </w:rPr>
              <w:t>/</w:t>
            </w:r>
          </w:p>
        </w:tc>
      </w:tr>
      <w:tr w14:paraId="06A3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526" w:type="dxa"/>
          </w:tcPr>
          <w:p w14:paraId="6E854AA7">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eastAsia="仿宋_GB2312"/>
                <w:sz w:val="24"/>
              </w:rPr>
              <w:t>7</w:t>
            </w:r>
          </w:p>
        </w:tc>
        <w:tc>
          <w:tcPr>
            <w:tcW w:w="1984" w:type="dxa"/>
          </w:tcPr>
          <w:p w14:paraId="0A8DDB03">
            <w:pPr>
              <w:autoSpaceDE w:val="0"/>
              <w:autoSpaceDN w:val="0"/>
              <w:adjustRightInd w:val="0"/>
              <w:spacing w:line="360" w:lineRule="auto"/>
              <w:jc w:val="center"/>
              <w:rPr>
                <w:rFonts w:ascii="仿宋_GB2312" w:hAnsi="Times New Roman" w:eastAsia="仿宋_GB2312" w:cs="宋体"/>
                <w:color w:val="000000"/>
                <w:kern w:val="0"/>
                <w:sz w:val="24"/>
              </w:rPr>
            </w:pPr>
            <w:r>
              <w:rPr>
                <w:rFonts w:hint="eastAsia" w:ascii="仿宋_GB2312" w:eastAsia="仿宋_GB2312" w:cs="宋体"/>
                <w:sz w:val="24"/>
              </w:rPr>
              <w:t>总氮④</w:t>
            </w:r>
          </w:p>
        </w:tc>
        <w:tc>
          <w:tcPr>
            <w:tcW w:w="1985" w:type="dxa"/>
          </w:tcPr>
          <w:p w14:paraId="7F17BCC1">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eastAsia="仿宋_GB2312"/>
                <w:sz w:val="24"/>
              </w:rPr>
              <w:t>20</w:t>
            </w:r>
          </w:p>
        </w:tc>
        <w:tc>
          <w:tcPr>
            <w:tcW w:w="1843" w:type="dxa"/>
          </w:tcPr>
          <w:p w14:paraId="4CB140EF">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eastAsia="仿宋_GB2312"/>
                <w:sz w:val="24"/>
              </w:rPr>
              <w:t>/</w:t>
            </w:r>
          </w:p>
        </w:tc>
        <w:tc>
          <w:tcPr>
            <w:tcW w:w="1971" w:type="dxa"/>
          </w:tcPr>
          <w:p w14:paraId="4714DE60">
            <w:pPr>
              <w:autoSpaceDE w:val="0"/>
              <w:autoSpaceDN w:val="0"/>
              <w:adjustRightInd w:val="0"/>
              <w:spacing w:line="360" w:lineRule="auto"/>
              <w:jc w:val="center"/>
              <w:rPr>
                <w:rFonts w:ascii="仿宋_GB2312" w:hAnsi="Times New Roman" w:eastAsia="仿宋_GB2312" w:cs="Times New Roman"/>
                <w:color w:val="000000"/>
                <w:kern w:val="0"/>
                <w:sz w:val="24"/>
              </w:rPr>
            </w:pPr>
            <w:r>
              <w:rPr>
                <w:rFonts w:ascii="仿宋_GB2312" w:eastAsia="仿宋_GB2312"/>
                <w:sz w:val="24"/>
              </w:rPr>
              <w:t>/</w:t>
            </w:r>
          </w:p>
        </w:tc>
      </w:tr>
      <w:tr w14:paraId="075C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309" w:type="dxa"/>
            <w:gridSpan w:val="5"/>
          </w:tcPr>
          <w:p w14:paraId="7EBC6138">
            <w:pPr>
              <w:pStyle w:val="38"/>
              <w:spacing w:line="360" w:lineRule="auto"/>
              <w:rPr>
                <w:rFonts w:ascii="仿宋_GB2312" w:eastAsia="仿宋_GB2312"/>
              </w:rPr>
            </w:pPr>
            <w:r>
              <w:rPr>
                <w:rFonts w:hint="eastAsia" w:ascii="仿宋_GB2312" w:eastAsia="仿宋_GB2312"/>
              </w:rPr>
              <w:t>注：①氨氮指标括号内的数值为水温</w:t>
            </w:r>
            <w:r>
              <w:rPr>
                <w:rFonts w:hint="eastAsia" w:ascii="仿宋_GB2312" w:eastAsia="仿宋_GB2312" w:cs="Times New Roman"/>
              </w:rPr>
              <w:t>≤</w:t>
            </w:r>
            <w:r>
              <w:rPr>
                <w:rFonts w:ascii="仿宋_GB2312" w:eastAsia="仿宋_GB2312" w:cs="Times New Roman"/>
              </w:rPr>
              <w:t>12</w:t>
            </w:r>
            <w:r>
              <w:rPr>
                <w:rFonts w:hint="eastAsia" w:ascii="仿宋_GB2312" w:eastAsia="仿宋_GB2312" w:cs="Times New Roman"/>
              </w:rPr>
              <w:t>℃</w:t>
            </w:r>
            <w:r>
              <w:rPr>
                <w:rFonts w:hint="eastAsia" w:ascii="仿宋_GB2312" w:eastAsia="仿宋_GB2312"/>
              </w:rPr>
              <w:t>的控制指标；</w:t>
            </w:r>
          </w:p>
          <w:p w14:paraId="1BEAA0F3">
            <w:pPr>
              <w:pStyle w:val="38"/>
              <w:spacing w:line="360" w:lineRule="auto"/>
              <w:rPr>
                <w:rFonts w:ascii="仿宋_GB2312" w:eastAsia="仿宋_GB2312"/>
              </w:rPr>
            </w:pPr>
            <w:r>
              <w:rPr>
                <w:rFonts w:hint="eastAsia" w:ascii="仿宋_GB2312" w:eastAsia="仿宋_GB2312"/>
              </w:rPr>
              <w:t>②动植物油指标仅针对含提供餐饮服务的农村旅游项目的生活污水处理设施执行；</w:t>
            </w:r>
          </w:p>
          <w:p w14:paraId="132D4AA5">
            <w:pPr>
              <w:pStyle w:val="38"/>
              <w:spacing w:line="360" w:lineRule="auto"/>
              <w:rPr>
                <w:rFonts w:ascii="仿宋_GB2312" w:eastAsia="仿宋_GB2312"/>
              </w:rPr>
            </w:pPr>
            <w:r>
              <w:rPr>
                <w:rFonts w:hint="eastAsia" w:ascii="仿宋_GB2312" w:eastAsia="仿宋_GB2312"/>
              </w:rPr>
              <w:t>③总磷指标仅针对出水排入封闭水体或总磷超标的水体的生活污水处理设施执行；</w:t>
            </w:r>
          </w:p>
          <w:p w14:paraId="7D5029B3">
            <w:pPr>
              <w:autoSpaceDE w:val="0"/>
              <w:autoSpaceDN w:val="0"/>
              <w:adjustRightInd w:val="0"/>
              <w:spacing w:line="360" w:lineRule="auto"/>
              <w:jc w:val="left"/>
              <w:rPr>
                <w:rFonts w:ascii="仿宋_GB2312" w:hAnsi="Times New Roman" w:eastAsia="仿宋_GB2312" w:cs="Times New Roman"/>
                <w:color w:val="000000"/>
                <w:kern w:val="0"/>
                <w:sz w:val="24"/>
              </w:rPr>
            </w:pPr>
            <w:r>
              <w:rPr>
                <w:rFonts w:hint="eastAsia" w:ascii="仿宋_GB2312" w:eastAsia="仿宋_GB2312"/>
                <w:sz w:val="24"/>
              </w:rPr>
              <w:t>④总氮指标仅针对出水排入封闭水体或总氮超标的水体的生活污水处理设施执行。</w:t>
            </w:r>
          </w:p>
        </w:tc>
      </w:tr>
    </w:tbl>
    <w:p w14:paraId="47D946BF">
      <w:pPr>
        <w:pStyle w:val="38"/>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4C3EF81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参照《广东省农村生活污水处理设施运营维护与评价标准》对污水收集系统检查与运行维护、对污水处理站点检查与运行维护、对污泥妥善处置、水质检测等。</w:t>
      </w:r>
    </w:p>
    <w:p w14:paraId="38AC1F1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4366ACEB">
      <w:pPr>
        <w:pStyle w:val="4"/>
      </w:pPr>
      <w:bookmarkStart w:id="57" w:name="_Toc26269"/>
      <w:bookmarkStart w:id="58" w:name="_Toc30248"/>
      <w:bookmarkStart w:id="59" w:name="_Toc4579"/>
      <w:bookmarkStart w:id="60" w:name="_Toc188530550"/>
      <w:r>
        <w:t>（四）主要风险识别</w:t>
      </w:r>
      <w:bookmarkEnd w:id="57"/>
      <w:bookmarkEnd w:id="58"/>
      <w:bookmarkEnd w:id="59"/>
      <w:bookmarkEnd w:id="60"/>
    </w:p>
    <w:p w14:paraId="143DF5D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风险主要是指项目在特许经营权授予、项目建设、运营、维护、移交等阶段中发生损失的可能性。风险识别是对这类项目运作过程中存在的风险因素进行系统地辨识和归类，并分析产生风险事件的原因；风险控制则是在风险识别的基础上设计和安排如何有效地控制、规避和分担风险的措施。任何城市基础建设和公共服务建设项目，实际运作中总是存在各种不同的风险因素（不确定性）。基于上述认识，结合项目实际情况，对项目风险进行描述和分析，使项目结构更加合理，运作过程更加顺畅。本</w:t>
      </w:r>
      <w:r>
        <w:rPr>
          <w:rFonts w:ascii="Times New Roman Regular" w:hAnsi="Times New Roman Regular" w:eastAsia="仿宋_GB2312" w:cs="Times New Roman Regular"/>
          <w:color w:val="000000" w:themeColor="text1"/>
          <w:sz w:val="28"/>
          <w:szCs w:val="28"/>
          <w14:textFill>
            <w14:solidFill>
              <w14:schemeClr w14:val="tx1"/>
            </w14:solidFill>
          </w14:textFill>
        </w:rPr>
        <w:t>项目存在多种风险，以下从不同维度进行风险识别：</w:t>
      </w:r>
    </w:p>
    <w:p w14:paraId="1372338D">
      <w:pPr>
        <w:pStyle w:val="5"/>
      </w:pPr>
      <w:r>
        <w:rPr>
          <w:rFonts w:hint="eastAsia"/>
        </w:rPr>
        <w:t>1、</w:t>
      </w:r>
      <w:r>
        <w:t>项目准备阶段</w:t>
      </w:r>
    </w:p>
    <w:p w14:paraId="11B818A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审批延误风险：项目需获得多个部门的审批许可，审批流程繁琐、效率低下或政策变化，可能导致审批延误，增加项目前期成本与时间成本。</w:t>
      </w:r>
    </w:p>
    <w:p w14:paraId="3A02EA6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市场需求评估风险：对农村污水产生量、处理需求</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评估准确性不足</w:t>
      </w:r>
      <w:r>
        <w:rPr>
          <w:rFonts w:ascii="Times New Roman Regular" w:hAnsi="Times New Roman Regular" w:eastAsia="仿宋_GB2312" w:cs="Times New Roman Regular"/>
          <w:color w:val="000000" w:themeColor="text1"/>
          <w:sz w:val="28"/>
          <w:szCs w:val="28"/>
          <w14:textFill>
            <w14:solidFill>
              <w14:schemeClr w14:val="tx1"/>
            </w14:solidFill>
          </w14:textFill>
        </w:rPr>
        <w:t>，可能导致项目规划与实际需求脱节，影响项目经济效益。</w:t>
      </w:r>
    </w:p>
    <w:p w14:paraId="65FD625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成本估算风险：对项目运营成本的估算不准确，遗漏重要成本项目或未考虑价格波动因素，可能导致项目预算超支。</w:t>
      </w:r>
    </w:p>
    <w:p w14:paraId="3F2C1FE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利益相关者协调风险：项目涉及政府、村民、企业等多个利益相关者，各方利益诉求不一致，协调难度大</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可能导致项目推进受阻。农村居民对污水处理项目的重要性和必要性认识不足，可能对项目存在抵触情绪，影响项目的顺利推进。</w:t>
      </w:r>
    </w:p>
    <w:p w14:paraId="6261B3FB">
      <w:pPr>
        <w:pStyle w:val="5"/>
      </w:pPr>
      <w:r>
        <w:rPr>
          <w:rFonts w:hint="eastAsia"/>
        </w:rPr>
        <w:t>2、</w:t>
      </w:r>
      <w:r>
        <w:t>项目建设阶段</w:t>
      </w:r>
    </w:p>
    <w:p w14:paraId="1BDA59B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本项目为TOT项目，建设由政府方完成，相关风险由其承担。但需要注意的是，本项目部分设施尚未完成竣工验收，可能发生项目不能及时验收从而导致特许经营单位无法按时接管运营的风险。</w:t>
      </w:r>
    </w:p>
    <w:p w14:paraId="5FFC65C2">
      <w:pPr>
        <w:pStyle w:val="5"/>
      </w:pPr>
      <w:r>
        <w:rPr>
          <w:rFonts w:hint="eastAsia"/>
        </w:rPr>
        <w:t>3、</w:t>
      </w:r>
      <w:r>
        <w:t>项目运营阶段</w:t>
      </w:r>
    </w:p>
    <w:p w14:paraId="03C1BCD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监管政策变化风险：环保、行业监管等政策的变化，可能对项目运营提出更高的要求，增加运营成本与管理难度。</w:t>
      </w:r>
    </w:p>
    <w:p w14:paraId="3D4A59D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管理</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效率</w:t>
      </w:r>
      <w:r>
        <w:rPr>
          <w:rFonts w:ascii="Times New Roman Regular" w:hAnsi="Times New Roman Regular" w:eastAsia="仿宋_GB2312" w:cs="Times New Roman Regular"/>
          <w:color w:val="000000" w:themeColor="text1"/>
          <w:sz w:val="28"/>
          <w:szCs w:val="28"/>
          <w14:textFill>
            <w14:solidFill>
              <w14:schemeClr w14:val="tx1"/>
            </w14:solidFill>
          </w14:textFill>
        </w:rPr>
        <w:t>风险：农村污水治理项目的运营需要专业的技术和管理人员。若项目团队缺乏经验、</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管理效率不佳，</w:t>
      </w:r>
      <w:r>
        <w:rPr>
          <w:rFonts w:ascii="Times New Roman Regular" w:hAnsi="Times New Roman Regular" w:eastAsia="仿宋_GB2312" w:cs="Times New Roman Regular"/>
          <w:color w:val="000000" w:themeColor="text1"/>
          <w:sz w:val="28"/>
          <w:szCs w:val="28"/>
          <w14:textFill>
            <w14:solidFill>
              <w14:schemeClr w14:val="tx1"/>
            </w14:solidFill>
          </w14:textFill>
        </w:rPr>
        <w:t>可能导致操作不规范、设备维护不到位、管理效率低下等问题，影响项目的正常运营和处理效果。</w:t>
      </w:r>
    </w:p>
    <w:p w14:paraId="633333D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运营成本增加风险：原材料价格上涨、能源价格上升、设备老化维修费用增加等，可能导致运营成本超出预算，压缩利润空间。污水处理费收缴风险：农村居民污水处理费缴费意识淡薄、收费机制不完善等，可能导致污水处理费收缴困难，影响项目收益。</w:t>
      </w:r>
    </w:p>
    <w:p w14:paraId="7018CA6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公众满意度风险：污水处理效果未达到预期，或项目运营过程中对周边环境造成不良影响，可能导致公众满意度下降，引发社会舆论压力。</w:t>
      </w:r>
    </w:p>
    <w:p w14:paraId="5626FA3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设施设备大修重置</w:t>
      </w:r>
      <w:r>
        <w:rPr>
          <w:rFonts w:ascii="Times New Roman Regular" w:hAnsi="Times New Roman Regular" w:eastAsia="仿宋_GB2312" w:cs="Times New Roman Regular"/>
          <w:color w:val="000000" w:themeColor="text1"/>
          <w:sz w:val="28"/>
          <w:szCs w:val="28"/>
          <w14:textFill>
            <w14:solidFill>
              <w14:schemeClr w14:val="tx1"/>
            </w14:solidFill>
          </w14:textFill>
        </w:rPr>
        <w:t>风险：</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因为特许经营期较长，相关设施</w:t>
      </w:r>
      <w:r>
        <w:rPr>
          <w:rFonts w:ascii="Times New Roman Regular" w:hAnsi="Times New Roman Regular" w:eastAsia="仿宋_GB2312" w:cs="Times New Roman Regular"/>
          <w:color w:val="000000" w:themeColor="text1"/>
          <w:sz w:val="28"/>
          <w:szCs w:val="28"/>
          <w14:textFill>
            <w14:solidFill>
              <w14:schemeClr w14:val="tx1"/>
            </w14:solidFill>
          </w14:textFill>
        </w:rPr>
        <w:t>设备</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需要大修或重置</w:t>
      </w:r>
      <w:r>
        <w:rPr>
          <w:rFonts w:ascii="Times New Roman Regular" w:hAnsi="Times New Roman Regular" w:eastAsia="仿宋_GB2312" w:cs="Times New Roman Regular"/>
          <w:color w:val="000000" w:themeColor="text1"/>
          <w:sz w:val="28"/>
          <w:szCs w:val="28"/>
          <w14:textFill>
            <w14:solidFill>
              <w14:schemeClr w14:val="tx1"/>
            </w14:solidFill>
          </w14:textFill>
        </w:rPr>
        <w:t>，影响污水处理效果与正常运营。</w:t>
      </w:r>
    </w:p>
    <w:p w14:paraId="6D5775E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技术更新风险：随着污水处理技术的不断发展，若项目不能及时进行技术升级改造，可能面临技术落后、运营效率低下的问题。</w:t>
      </w:r>
    </w:p>
    <w:p w14:paraId="4910C02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二次污染风险：污水处理过程中产生的污泥等处理不当，可能对周边环境造成二次污染，引发环境事故。</w:t>
      </w:r>
    </w:p>
    <w:p w14:paraId="21E162F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财务</w:t>
      </w:r>
      <w:r>
        <w:rPr>
          <w:rFonts w:ascii="Times New Roman Regular" w:hAnsi="Times New Roman Regular" w:eastAsia="仿宋_GB2312" w:cs="Times New Roman Regular"/>
          <w:color w:val="000000" w:themeColor="text1"/>
          <w:sz w:val="28"/>
          <w:szCs w:val="28"/>
          <w14:textFill>
            <w14:solidFill>
              <w14:schemeClr w14:val="tx1"/>
            </w14:solidFill>
          </w14:textFill>
        </w:rPr>
        <w:t>风险：</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财务管理不善，导致现金流紧张难以覆盖</w:t>
      </w:r>
      <w:r>
        <w:rPr>
          <w:rFonts w:ascii="Times New Roman Regular" w:hAnsi="Times New Roman Regular" w:eastAsia="仿宋_GB2312" w:cs="Times New Roman Regular"/>
          <w:color w:val="000000" w:themeColor="text1"/>
          <w:sz w:val="28"/>
          <w:szCs w:val="28"/>
          <w14:textFill>
            <w14:solidFill>
              <w14:schemeClr w14:val="tx1"/>
            </w14:solidFill>
          </w14:textFill>
        </w:rPr>
        <w:t>运营成本与偿还债务，影响项目的可持续发展。</w:t>
      </w:r>
    </w:p>
    <w:p w14:paraId="5E9E61EA">
      <w:pPr>
        <w:pStyle w:val="5"/>
      </w:pPr>
      <w:r>
        <w:t>4</w:t>
      </w:r>
      <w:r>
        <w:rPr>
          <w:rFonts w:hint="eastAsia"/>
        </w:rPr>
        <w:t>、</w:t>
      </w:r>
      <w:r>
        <w:t>项目移交阶段</w:t>
      </w:r>
    </w:p>
    <w:p w14:paraId="5FE60DB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设备设施完整性风险：项目移交时，设备设施可能存在老化、损坏等问题，影响项目后续的正常运营。</w:t>
      </w:r>
    </w:p>
    <w:p w14:paraId="0DC0E6B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技术资料交接风险：项目技术资料交接不完整、不准确，可能给后续运营管理带来困难。</w:t>
      </w:r>
    </w:p>
    <w:p w14:paraId="40447C4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遗留环境问题风险：项目运营过程中可能存在一些遗留的环境问题，如土壤污染、地下水污染等，移交后可能引发环境纠纷与责任争议。</w:t>
      </w:r>
    </w:p>
    <w:p w14:paraId="58E5276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移交费用争议风险：项目移交过程中，可能涉及一些费用的结算与支付，如尾款支付、质保金返还等，双方可能在费用金额、支付方式等方面存在争议。</w:t>
      </w:r>
    </w:p>
    <w:p w14:paraId="4ED98B55">
      <w:pPr>
        <w:pStyle w:val="5"/>
      </w:pPr>
      <w:r>
        <w:t>5</w:t>
      </w:r>
      <w:r>
        <w:rPr>
          <w:rFonts w:hint="eastAsia"/>
        </w:rPr>
        <w:t>、不可抗力</w:t>
      </w:r>
    </w:p>
    <w:p w14:paraId="28D6824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自然因素导致的不可抗力风险：由于不能合理预见的自然灾害（如地震、洪水、台风等）、病疫等事件导致本项目失败或收益大幅度减少的风险。</w:t>
      </w:r>
    </w:p>
    <w:p w14:paraId="635B3A8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因非自然因素导致的不可抗力风险：由于不可合理预见的政变、战争、暴乱、罢工等事件发生导致本项目失败或收益大幅减少的风险。</w:t>
      </w:r>
    </w:p>
    <w:p w14:paraId="430D02EF">
      <w:pPr>
        <w:rPr>
          <w:rFonts w:ascii="Times New Roman Regular" w:hAnsi="Times New Roman Regular" w:eastAsia="仿宋_GB2312" w:cs="Times New Roman Regular"/>
          <w:color w:val="000000" w:themeColor="text1"/>
          <w:kern w:val="0"/>
          <w:sz w:val="28"/>
          <w:szCs w:val="28"/>
          <w14:textFill>
            <w14:solidFill>
              <w14:schemeClr w14:val="tx1"/>
            </w14:solidFill>
          </w14:textFill>
        </w:rPr>
      </w:pPr>
    </w:p>
    <w:p w14:paraId="33AA2577">
      <w:pPr>
        <w:pStyle w:val="2"/>
      </w:pPr>
    </w:p>
    <w:p w14:paraId="51E70FC7">
      <w:pPr>
        <w:pStyle w:val="3"/>
      </w:pPr>
      <w:bookmarkStart w:id="61" w:name="_Toc11660"/>
      <w:bookmarkStart w:id="62" w:name="_Toc23592"/>
      <w:bookmarkStart w:id="63" w:name="_Toc30040"/>
      <w:bookmarkStart w:id="64" w:name="_Toc188530551"/>
      <w:r>
        <w:t>三、 特许经营模式可行性论证</w:t>
      </w:r>
      <w:bookmarkEnd w:id="61"/>
      <w:bookmarkEnd w:id="62"/>
      <w:bookmarkEnd w:id="63"/>
      <w:bookmarkEnd w:id="64"/>
    </w:p>
    <w:p w14:paraId="285527FA">
      <w:pPr>
        <w:pStyle w:val="4"/>
      </w:pPr>
      <w:bookmarkStart w:id="65" w:name="_Toc1728"/>
      <w:bookmarkStart w:id="66" w:name="_Toc22055"/>
      <w:bookmarkStart w:id="67" w:name="_Toc3117"/>
      <w:bookmarkStart w:id="68" w:name="_Toc188530552"/>
      <w:r>
        <w:t>（一）项目属性分析</w:t>
      </w:r>
      <w:bookmarkEnd w:id="65"/>
      <w:bookmarkEnd w:id="66"/>
      <w:bookmarkEnd w:id="67"/>
      <w:bookmarkEnd w:id="68"/>
    </w:p>
    <w:p w14:paraId="65EB5DC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本项目为污水处理农村污水治理项目，属于</w:t>
      </w:r>
      <w:r>
        <w:rPr>
          <w:rFonts w:hint="eastAsia" w:ascii="仿宋" w:hAnsi="仿宋" w:eastAsia="仿宋" w:cs="仿宋"/>
          <w:color w:val="000000" w:themeColor="text1"/>
          <w:spacing w:val="6"/>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国务院办公厅转发国家发展改革委、财政部&lt;关于规范实施政府和社会资本合作新机制的指导意见&gt;的通知</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（国办函〔2023〕115号）规定的重点领域（污水垃圾收集处理及资源化利用等生态保护和环境治理项目）</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，属于具有一定公益性且存在经营收入的项目</w:t>
      </w:r>
      <w:r>
        <w:rPr>
          <w:rFonts w:ascii="Times New Roman Regular" w:hAnsi="Times New Roman Regular" w:eastAsia="仿宋_GB2312" w:cs="Times New Roman Regular"/>
          <w:color w:val="000000" w:themeColor="text1"/>
          <w:sz w:val="28"/>
          <w:szCs w:val="28"/>
          <w14:textFill>
            <w14:solidFill>
              <w14:schemeClr w14:val="tx1"/>
            </w14:solidFill>
          </w14:textFill>
        </w:rPr>
        <w:t>。因此，本项目</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适宜</w:t>
      </w:r>
      <w:r>
        <w:rPr>
          <w:rFonts w:ascii="Times New Roman Regular" w:hAnsi="Times New Roman Regular" w:eastAsia="仿宋_GB2312" w:cs="Times New Roman Regular"/>
          <w:color w:val="000000" w:themeColor="text1"/>
          <w:sz w:val="28"/>
          <w:szCs w:val="28"/>
          <w14:textFill>
            <w14:solidFill>
              <w14:schemeClr w14:val="tx1"/>
            </w14:solidFill>
          </w14:textFill>
        </w:rPr>
        <w:t>采用特许经营模式。</w:t>
      </w:r>
    </w:p>
    <w:p w14:paraId="1178E7AC">
      <w:pPr>
        <w:pStyle w:val="4"/>
      </w:pPr>
      <w:bookmarkStart w:id="69" w:name="_Toc6256"/>
      <w:bookmarkStart w:id="70" w:name="_Toc188530553"/>
      <w:bookmarkStart w:id="71" w:name="_Toc11601"/>
      <w:bookmarkStart w:id="72" w:name="_Toc26208"/>
      <w:r>
        <w:t>（二）项目收费渠道和方式</w:t>
      </w:r>
      <w:bookmarkEnd w:id="69"/>
      <w:bookmarkEnd w:id="70"/>
      <w:bookmarkEnd w:id="71"/>
      <w:bookmarkEnd w:id="72"/>
    </w:p>
    <w:p w14:paraId="665C5F30">
      <w:pPr>
        <w:pStyle w:val="5"/>
      </w:pPr>
      <w:bookmarkStart w:id="73" w:name="_Toc18"/>
      <w:r>
        <w:t>1、项目收费渠道和方式</w:t>
      </w:r>
      <w:bookmarkEnd w:id="73"/>
    </w:p>
    <w:p w14:paraId="457F930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基础设施和公用事业特许经营管理办法》“第六条基础设施和公用事业特许经营应当聚焦使用者付费项目”“前款所称使用者付费，包括特许经营者直接向用户收费，以及由政府或其依法授权机构代为向用户收费。”</w:t>
      </w:r>
    </w:p>
    <w:p w14:paraId="00BCAD0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特许经营单位为项目范围内的污水排放单位和个人提供污水处理服务，政府向排污单位或个人收取</w:t>
      </w:r>
      <w:r>
        <w:rPr>
          <w:rFonts w:ascii="Times New Roman Regular" w:hAnsi="Times New Roman Regular" w:eastAsia="仿宋_GB2312" w:cs="Times New Roman Regular"/>
          <w:color w:val="000000" w:themeColor="text1"/>
          <w:sz w:val="28"/>
          <w:szCs w:val="28"/>
          <w14:textFill>
            <w14:solidFill>
              <w14:schemeClr w14:val="tx1"/>
            </w14:solidFill>
          </w14:textFill>
        </w:rPr>
        <w:t>污水处理费</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，并向特许经营单位支付污水处理服务费。</w:t>
      </w:r>
    </w:p>
    <w:p w14:paraId="61459671">
      <w:pPr>
        <w:pStyle w:val="5"/>
      </w:pPr>
      <w:bookmarkStart w:id="74" w:name="_Toc18439"/>
      <w:r>
        <w:t>2、收费渠道和方式的合法合规性</w:t>
      </w:r>
      <w:bookmarkEnd w:id="74"/>
    </w:p>
    <w:p w14:paraId="45A944C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75" w:name="_Toc5296"/>
      <w:r>
        <w:rPr>
          <w:rFonts w:ascii="Times New Roman Regular" w:hAnsi="Times New Roman Regular" w:eastAsia="仿宋_GB2312" w:cs="Times New Roman Regular"/>
          <w:color w:val="000000" w:themeColor="text1"/>
          <w:sz w:val="28"/>
          <w:szCs w:val="28"/>
          <w14:textFill>
            <w14:solidFill>
              <w14:schemeClr w14:val="tx1"/>
            </w14:solidFill>
          </w14:textFill>
        </w:rPr>
        <w:t>根据财政部</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、发展改革委、住房城乡建设部</w:t>
      </w:r>
      <w:r>
        <w:rPr>
          <w:rFonts w:hint="eastAsia" w:ascii="仿宋" w:hAnsi="仿宋" w:eastAsia="仿宋" w:cs="仿宋"/>
          <w:color w:val="000000" w:themeColor="text1"/>
          <w:spacing w:val="6"/>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关于印发&lt;污水处理费征收使用管理办法&gt;的通知</w:t>
      </w:r>
      <w:bookmarkEnd w:id="75"/>
      <w:bookmarkStart w:id="76" w:name="_Toc20873"/>
      <w:r>
        <w:rPr>
          <w:rFonts w:hint="eastAsia" w:ascii="仿宋" w:hAnsi="仿宋" w:eastAsia="仿宋" w:cs="仿宋"/>
          <w:color w:val="000000" w:themeColor="text1"/>
          <w:spacing w:val="6"/>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财税〔2014〕151号），污水处理费是按照“污染者付费”原则，由排水单位和个人缴纳并专项用于城镇污水处理设施建设、运行和污泥处理处置的资金，属于政府非税收入，全额上缴地方国库，纳入地方政府性基金预算管理，实行专款专用。污水处理费是按照相关政策要求征收的合规收费方式，符合特许经营使用者付费的原则。</w:t>
      </w:r>
    </w:p>
    <w:bookmarkEnd w:id="76"/>
    <w:p w14:paraId="09C0F997">
      <w:pPr>
        <w:pStyle w:val="5"/>
      </w:pPr>
      <w:bookmarkStart w:id="77" w:name="_Toc16690"/>
      <w:r>
        <w:t>3、使用者支付意愿、支付能力</w:t>
      </w:r>
      <w:bookmarkEnd w:id="77"/>
    </w:p>
    <w:p w14:paraId="49F8503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污水处理费是按照国家政策法规要求向污染者强制征收的费用，也是污染者必须承担的污染成本。</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关于调整潮州市市区污水处理费征收标准有关事项的通知》（潮发改价〔2016〕368号），污水处理费征收标准为居民类每立方米0.95元、非居民类每立方米1.4元；环卫、绿化和消防用水污水处理费按居民类标准收取，特种用水污水处理费按非居民类标准收取。</w:t>
      </w:r>
    </w:p>
    <w:p w14:paraId="4B33C12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污水处理费按用水户的实际用水量按月计征。</w:t>
      </w:r>
      <w:r>
        <w:rPr>
          <w:rFonts w:ascii="Times New Roman Regular" w:hAnsi="Times New Roman Regular" w:eastAsia="仿宋_GB2312" w:cs="Times New Roman Regular"/>
          <w:color w:val="000000" w:themeColor="text1"/>
          <w:sz w:val="28"/>
          <w:szCs w:val="28"/>
          <w14:textFill>
            <w14:solidFill>
              <w14:schemeClr w14:val="tx1"/>
            </w14:solidFill>
          </w14:textFill>
        </w:rPr>
        <w:t>污水处理费涵盖在水费之中，为使用者必须缴纳的费用</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。本项目范围为潮州市区附近的镇村，居民收入及环保意识较好，</w:t>
      </w:r>
      <w:r>
        <w:rPr>
          <w:rFonts w:ascii="Times New Roman Regular" w:hAnsi="Times New Roman Regular" w:eastAsia="仿宋_GB2312" w:cs="Times New Roman Regular"/>
          <w:color w:val="000000" w:themeColor="text1"/>
          <w:sz w:val="28"/>
          <w:szCs w:val="28"/>
          <w14:textFill>
            <w14:solidFill>
              <w14:schemeClr w14:val="tx1"/>
            </w14:solidFill>
          </w14:textFill>
        </w:rPr>
        <w:t>相关使用者有较强的支付意愿及支付能力。</w:t>
      </w:r>
    </w:p>
    <w:p w14:paraId="1B8641A6">
      <w:pPr>
        <w:pStyle w:val="5"/>
      </w:pPr>
      <w:bookmarkStart w:id="78" w:name="_Toc15542"/>
      <w:r>
        <w:t>4、项目收益稳定性</w:t>
      </w:r>
      <w:bookmarkEnd w:id="78"/>
    </w:p>
    <w:p w14:paraId="08914B8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79" w:name="_Toc5122"/>
      <w:r>
        <w:rPr>
          <w:rFonts w:ascii="Times New Roman Regular" w:hAnsi="Times New Roman Regular" w:eastAsia="仿宋_GB2312" w:cs="Times New Roman Regular"/>
          <w:color w:val="000000" w:themeColor="text1"/>
          <w:sz w:val="28"/>
          <w:szCs w:val="28"/>
          <w14:textFill>
            <w14:solidFill>
              <w14:schemeClr w14:val="tx1"/>
            </w14:solidFill>
          </w14:textFill>
        </w:rPr>
        <w:t>据统计，</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近年来</w:t>
      </w:r>
      <w:r>
        <w:rPr>
          <w:rFonts w:ascii="Times New Roman Regular" w:hAnsi="Times New Roman Regular" w:eastAsia="仿宋_GB2312" w:cs="Times New Roman Regular"/>
          <w:color w:val="000000" w:themeColor="text1"/>
          <w:sz w:val="28"/>
          <w:szCs w:val="28"/>
          <w14:textFill>
            <w14:solidFill>
              <w14:schemeClr w14:val="tx1"/>
            </w14:solidFill>
          </w14:textFill>
        </w:rPr>
        <w:t>湘桥区</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项目范围</w:t>
      </w:r>
      <w:r>
        <w:rPr>
          <w:rFonts w:ascii="Times New Roman Regular" w:hAnsi="Times New Roman Regular" w:eastAsia="仿宋_GB2312" w:cs="Times New Roman Regular"/>
          <w:color w:val="000000" w:themeColor="text1"/>
          <w:sz w:val="28"/>
          <w:szCs w:val="28"/>
          <w14:textFill>
            <w14:solidFill>
              <w14:schemeClr w14:val="tx1"/>
            </w14:solidFill>
          </w14:textFill>
        </w:rPr>
        <w:t>内</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的</w:t>
      </w:r>
      <w:r>
        <w:rPr>
          <w:rFonts w:ascii="Times New Roman Regular" w:hAnsi="Times New Roman Regular" w:eastAsia="仿宋_GB2312" w:cs="Times New Roman Regular"/>
          <w:color w:val="000000" w:themeColor="text1"/>
          <w:sz w:val="28"/>
          <w:szCs w:val="28"/>
          <w14:textFill>
            <w14:solidFill>
              <w14:schemeClr w14:val="tx1"/>
            </w14:solidFill>
          </w14:textFill>
        </w:rPr>
        <w:t>用水量呈增加趋势，</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根据潮州市人民政府2018 年的人口普查数据表且《潮州市总体规划（2020-2035）》中人口年增长率为1.6%。</w:t>
      </w:r>
      <w:r>
        <w:rPr>
          <w:rFonts w:ascii="Times New Roman Regular" w:hAnsi="Times New Roman Regular" w:eastAsia="仿宋_GB2312" w:cs="Times New Roman Regular"/>
          <w:color w:val="000000" w:themeColor="text1"/>
          <w:sz w:val="28"/>
          <w:szCs w:val="28"/>
          <w14:textFill>
            <w14:solidFill>
              <w14:schemeClr w14:val="tx1"/>
            </w14:solidFill>
          </w14:textFill>
        </w:rPr>
        <w:t>考虑到未来人口因素和产业发展因素，项目运营范围内污水处理量不会降低，污水处理单价具有根据项目运营情况变化的调价机制，可保证项目收益保持在一定水平，项目收益具有稳定性</w:t>
      </w:r>
      <w:bookmarkEnd w:id="79"/>
      <w:r>
        <w:rPr>
          <w:rFonts w:ascii="Times New Roman Regular" w:hAnsi="Times New Roman Regular" w:eastAsia="仿宋_GB2312" w:cs="Times New Roman Regular"/>
          <w:color w:val="000000" w:themeColor="text1"/>
          <w:sz w:val="28"/>
          <w:szCs w:val="28"/>
          <w14:textFill>
            <w14:solidFill>
              <w14:schemeClr w14:val="tx1"/>
            </w14:solidFill>
          </w14:textFill>
        </w:rPr>
        <w:t>。</w:t>
      </w:r>
    </w:p>
    <w:p w14:paraId="490B6C29">
      <w:pPr>
        <w:pStyle w:val="5"/>
      </w:pPr>
      <w:bookmarkStart w:id="80" w:name="_Toc15204"/>
      <w:r>
        <w:t>5、项目运营成本</w:t>
      </w:r>
      <w:bookmarkEnd w:id="80"/>
    </w:p>
    <w:p w14:paraId="1D0468D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根据第三方评估机构的评估结果，本项目合作年限3</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年的特许经营权价值为</w:t>
      </w:r>
      <w:r>
        <w:rPr>
          <w:rFonts w:ascii="Times New Roman Regular" w:hAnsi="Times New Roman Regular" w:eastAsia="仿宋_GB2312" w:cs="Times New Roman Regular"/>
          <w:color w:val="000000" w:themeColor="text1"/>
          <w:sz w:val="28"/>
          <w:szCs w:val="28"/>
          <w14:textFill>
            <w14:solidFill>
              <w14:schemeClr w14:val="tx1"/>
            </w14:solidFill>
          </w14:textFill>
        </w:rPr>
        <w:t>11000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万元，特许经营单位总投入按1</w:t>
      </w:r>
      <w:r>
        <w:rPr>
          <w:rFonts w:ascii="Times New Roman Regular" w:hAnsi="Times New Roman Regular" w:eastAsia="仿宋_GB2312" w:cs="Times New Roman Regular"/>
          <w:color w:val="000000" w:themeColor="text1"/>
          <w:sz w:val="28"/>
          <w:szCs w:val="28"/>
          <w14:textFill>
            <w14:solidFill>
              <w14:schemeClr w14:val="tx1"/>
            </w14:solidFill>
          </w14:textFill>
        </w:rPr>
        <w:t>1000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w:t>
      </w:r>
      <w:r>
        <w:rPr>
          <w:rFonts w:ascii="Times New Roman Regular" w:hAnsi="Times New Roman Regular" w:eastAsia="仿宋_GB2312" w:cs="Times New Roman Regular"/>
          <w:color w:val="000000" w:themeColor="text1"/>
          <w:sz w:val="28"/>
          <w:szCs w:val="28"/>
          <w14:textFill>
            <w14:solidFill>
              <w14:schemeClr w14:val="tx1"/>
            </w14:solidFill>
          </w14:textFill>
        </w:rPr>
        <w:t>元</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，项目资本金按2</w:t>
      </w:r>
      <w:r>
        <w:rPr>
          <w:rFonts w:ascii="Times New Roman Regular" w:hAnsi="Times New Roman Regular" w:eastAsia="仿宋_GB2312" w:cs="Times New Roman Regular"/>
          <w:color w:val="000000" w:themeColor="text1"/>
          <w:sz w:val="28"/>
          <w:szCs w:val="28"/>
          <w14:textFill>
            <w14:solidFill>
              <w14:schemeClr w14:val="tx1"/>
            </w14:solidFill>
          </w14:textFill>
        </w:rPr>
        <w:t>254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万元，约占2</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，剩余约8</w:t>
      </w:r>
      <w:r>
        <w:rPr>
          <w:rFonts w:ascii="Times New Roman Regular" w:hAnsi="Times New Roman Regular" w:eastAsia="仿宋_GB2312" w:cs="Times New Roman Regular"/>
          <w:color w:val="000000" w:themeColor="text1"/>
          <w:sz w:val="28"/>
          <w:szCs w:val="28"/>
          <w14:textFill>
            <w14:solidFill>
              <w14:schemeClr w14:val="tx1"/>
            </w14:solidFill>
          </w14:textFill>
        </w:rPr>
        <w:t>746</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万元从银行贷款。</w:t>
      </w:r>
    </w:p>
    <w:p w14:paraId="4D37957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本项目财务测算详细说明如下表：</w:t>
      </w:r>
    </w:p>
    <w:p w14:paraId="686EC6E2">
      <w:pPr>
        <w:pStyle w:val="43"/>
        <w:adjustRightInd w:val="0"/>
        <w:spacing w:beforeLines="0" w:afterLines="0" w:line="360" w:lineRule="auto"/>
        <w:ind w:firstLine="0" w:firstLineChars="0"/>
        <w:jc w:val="center"/>
        <w:rPr>
          <w:rStyle w:val="29"/>
          <w:rFonts w:ascii="宋体" w:hAnsi="宋体"/>
          <w:b/>
          <w:bCs/>
          <w:kern w:val="0"/>
          <w:sz w:val="28"/>
          <w:szCs w:val="28"/>
        </w:rPr>
      </w:pPr>
      <w:r>
        <w:rPr>
          <w:rStyle w:val="29"/>
          <w:rFonts w:hint="eastAsia" w:ascii="宋体" w:hAnsi="宋体"/>
          <w:b/>
          <w:bCs/>
          <w:kern w:val="0"/>
          <w:sz w:val="28"/>
          <w:szCs w:val="28"/>
        </w:rPr>
        <w:t>表3</w:t>
      </w:r>
      <w:r>
        <w:rPr>
          <w:rStyle w:val="29"/>
          <w:rFonts w:ascii="宋体" w:hAnsi="宋体"/>
          <w:b/>
          <w:bCs/>
          <w:kern w:val="0"/>
          <w:sz w:val="28"/>
          <w:szCs w:val="28"/>
        </w:rPr>
        <w:t>-3</w:t>
      </w:r>
      <w:r>
        <w:rPr>
          <w:rStyle w:val="29"/>
          <w:rFonts w:hint="eastAsia" w:ascii="宋体" w:hAnsi="宋体"/>
          <w:b/>
          <w:bCs/>
          <w:kern w:val="0"/>
          <w:sz w:val="28"/>
          <w:szCs w:val="28"/>
        </w:rPr>
        <w:t>项目测算说明表</w:t>
      </w:r>
    </w:p>
    <w:tbl>
      <w:tblPr>
        <w:tblStyle w:val="1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358"/>
        <w:gridCol w:w="1418"/>
        <w:gridCol w:w="1275"/>
        <w:gridCol w:w="4252"/>
      </w:tblGrid>
      <w:tr w14:paraId="09E9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569F9DEF">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1358" w:type="dxa"/>
            <w:tcBorders>
              <w:top w:val="single" w:color="auto" w:sz="4" w:space="0"/>
              <w:left w:val="single" w:color="auto" w:sz="4" w:space="0"/>
              <w:bottom w:val="single" w:color="auto" w:sz="4" w:space="0"/>
              <w:right w:val="single" w:color="auto" w:sz="4" w:space="0"/>
            </w:tcBorders>
            <w:noWrap/>
            <w:vAlign w:val="center"/>
          </w:tcPr>
          <w:p w14:paraId="447ABEFA">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1418" w:type="dxa"/>
            <w:tcBorders>
              <w:top w:val="single" w:color="auto" w:sz="4" w:space="0"/>
              <w:left w:val="single" w:color="auto" w:sz="4" w:space="0"/>
              <w:bottom w:val="single" w:color="auto" w:sz="4" w:space="0"/>
              <w:right w:val="single" w:color="auto" w:sz="4" w:space="0"/>
            </w:tcBorders>
            <w:noWrap/>
            <w:vAlign w:val="center"/>
          </w:tcPr>
          <w:p w14:paraId="33FD5EE7">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年平均（万元/年）</w:t>
            </w:r>
          </w:p>
        </w:tc>
        <w:tc>
          <w:tcPr>
            <w:tcW w:w="1275" w:type="dxa"/>
            <w:tcBorders>
              <w:top w:val="single" w:color="auto" w:sz="4" w:space="0"/>
              <w:left w:val="single" w:color="auto" w:sz="4" w:space="0"/>
              <w:bottom w:val="single" w:color="auto" w:sz="4" w:space="0"/>
              <w:right w:val="single" w:color="auto" w:sz="4" w:space="0"/>
            </w:tcBorders>
            <w:vAlign w:val="center"/>
          </w:tcPr>
          <w:p w14:paraId="1A2E94D8">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30年累计（万元）</w:t>
            </w:r>
          </w:p>
        </w:tc>
        <w:tc>
          <w:tcPr>
            <w:tcW w:w="4252" w:type="dxa"/>
            <w:tcBorders>
              <w:top w:val="single" w:color="auto" w:sz="4" w:space="0"/>
              <w:left w:val="single" w:color="auto" w:sz="4" w:space="0"/>
              <w:bottom w:val="single" w:color="auto" w:sz="4" w:space="0"/>
              <w:right w:val="single" w:color="auto" w:sz="4" w:space="0"/>
            </w:tcBorders>
            <w:vAlign w:val="center"/>
          </w:tcPr>
          <w:p w14:paraId="0810DC8B">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测算说明</w:t>
            </w:r>
          </w:p>
        </w:tc>
      </w:tr>
      <w:tr w14:paraId="2C01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5AC29842">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一</w:t>
            </w:r>
          </w:p>
        </w:tc>
        <w:tc>
          <w:tcPr>
            <w:tcW w:w="1358" w:type="dxa"/>
            <w:tcBorders>
              <w:top w:val="single" w:color="auto" w:sz="4" w:space="0"/>
              <w:left w:val="single" w:color="auto" w:sz="4" w:space="0"/>
              <w:bottom w:val="single" w:color="auto" w:sz="4" w:space="0"/>
              <w:right w:val="single" w:color="auto" w:sz="4" w:space="0"/>
            </w:tcBorders>
            <w:noWrap/>
            <w:vAlign w:val="center"/>
          </w:tcPr>
          <w:p w14:paraId="76580B2B">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摊销及利息</w:t>
            </w:r>
          </w:p>
        </w:tc>
        <w:tc>
          <w:tcPr>
            <w:tcW w:w="1418" w:type="dxa"/>
            <w:tcBorders>
              <w:top w:val="single" w:color="auto" w:sz="4" w:space="0"/>
              <w:left w:val="single" w:color="auto" w:sz="4" w:space="0"/>
              <w:bottom w:val="single" w:color="auto" w:sz="4" w:space="0"/>
              <w:right w:val="single" w:color="auto" w:sz="4" w:space="0"/>
            </w:tcBorders>
            <w:noWrap/>
            <w:vAlign w:val="center"/>
          </w:tcPr>
          <w:p w14:paraId="2AB15FBE">
            <w:pPr>
              <w:widowControl/>
              <w:spacing w:line="360" w:lineRule="auto"/>
              <w:jc w:val="center"/>
              <w:rPr>
                <w:rFonts w:ascii="仿宋_GB2312" w:hAnsi="宋体" w:eastAsia="仿宋_GB2312" w:cs="宋体"/>
                <w:b/>
                <w:color w:val="000000"/>
                <w:kern w:val="0"/>
                <w:sz w:val="24"/>
              </w:rPr>
            </w:pPr>
            <w:r>
              <w:rPr>
                <w:rFonts w:ascii="仿宋_GB2312" w:hAnsi="宋体" w:eastAsia="仿宋_GB2312" w:cs="宋体"/>
                <w:b/>
                <w:color w:val="000000"/>
                <w:kern w:val="0"/>
                <w:sz w:val="24"/>
              </w:rPr>
              <w:t>557</w:t>
            </w:r>
          </w:p>
        </w:tc>
        <w:tc>
          <w:tcPr>
            <w:tcW w:w="1275" w:type="dxa"/>
            <w:tcBorders>
              <w:top w:val="single" w:color="auto" w:sz="4" w:space="0"/>
              <w:left w:val="single" w:color="auto" w:sz="4" w:space="0"/>
              <w:bottom w:val="single" w:color="auto" w:sz="4" w:space="0"/>
              <w:right w:val="single" w:color="auto" w:sz="4" w:space="0"/>
            </w:tcBorders>
            <w:vAlign w:val="center"/>
          </w:tcPr>
          <w:p w14:paraId="71B2BDE2">
            <w:pPr>
              <w:widowControl/>
              <w:spacing w:line="360" w:lineRule="auto"/>
              <w:jc w:val="center"/>
              <w:rPr>
                <w:rFonts w:ascii="仿宋_GB2312" w:hAnsi="宋体" w:eastAsia="仿宋_GB2312" w:cs="宋体"/>
                <w:b/>
                <w:color w:val="000000"/>
                <w:kern w:val="0"/>
                <w:sz w:val="24"/>
              </w:rPr>
            </w:pPr>
            <w:r>
              <w:rPr>
                <w:rFonts w:ascii="仿宋_GB2312" w:hAnsi="宋体" w:eastAsia="仿宋_GB2312" w:cs="宋体"/>
                <w:b/>
                <w:color w:val="000000"/>
                <w:kern w:val="0"/>
                <w:sz w:val="24"/>
              </w:rPr>
              <w:t>16699</w:t>
            </w:r>
          </w:p>
        </w:tc>
        <w:tc>
          <w:tcPr>
            <w:tcW w:w="4252" w:type="dxa"/>
            <w:tcBorders>
              <w:top w:val="single" w:color="auto" w:sz="4" w:space="0"/>
              <w:left w:val="single" w:color="auto" w:sz="4" w:space="0"/>
              <w:bottom w:val="single" w:color="auto" w:sz="4" w:space="0"/>
              <w:right w:val="single" w:color="auto" w:sz="4" w:space="0"/>
            </w:tcBorders>
            <w:vAlign w:val="center"/>
          </w:tcPr>
          <w:p w14:paraId="712B7A57">
            <w:pPr>
              <w:widowControl/>
              <w:spacing w:line="360" w:lineRule="auto"/>
              <w:jc w:val="center"/>
              <w:rPr>
                <w:rFonts w:ascii="仿宋_GB2312" w:hAnsi="宋体" w:eastAsia="仿宋_GB2312" w:cs="宋体"/>
                <w:b/>
                <w:color w:val="000000"/>
                <w:kern w:val="0"/>
                <w:sz w:val="24"/>
              </w:rPr>
            </w:pPr>
          </w:p>
        </w:tc>
      </w:tr>
      <w:tr w14:paraId="3B3B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47888FD9">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Arial"/>
                <w:color w:val="000000"/>
                <w:kern w:val="0"/>
                <w:sz w:val="24"/>
              </w:rPr>
              <w:t>1.1</w:t>
            </w:r>
          </w:p>
        </w:tc>
        <w:tc>
          <w:tcPr>
            <w:tcW w:w="1358" w:type="dxa"/>
            <w:tcBorders>
              <w:top w:val="single" w:color="auto" w:sz="4" w:space="0"/>
              <w:left w:val="single" w:color="auto" w:sz="4" w:space="0"/>
              <w:bottom w:val="single" w:color="auto" w:sz="4" w:space="0"/>
              <w:right w:val="single" w:color="auto" w:sz="4" w:space="0"/>
            </w:tcBorders>
            <w:noWrap/>
            <w:vAlign w:val="center"/>
          </w:tcPr>
          <w:p w14:paraId="5D0350B2">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投资摊销</w:t>
            </w:r>
          </w:p>
        </w:tc>
        <w:tc>
          <w:tcPr>
            <w:tcW w:w="1418" w:type="dxa"/>
            <w:tcBorders>
              <w:top w:val="single" w:color="auto" w:sz="4" w:space="0"/>
              <w:left w:val="single" w:color="auto" w:sz="4" w:space="0"/>
              <w:bottom w:val="single" w:color="auto" w:sz="4" w:space="0"/>
              <w:right w:val="single" w:color="auto" w:sz="4" w:space="0"/>
            </w:tcBorders>
            <w:noWrap/>
            <w:vAlign w:val="center"/>
          </w:tcPr>
          <w:p w14:paraId="633BA6D6">
            <w:pPr>
              <w:widowControl/>
              <w:spacing w:line="360" w:lineRule="auto"/>
              <w:jc w:val="center"/>
              <w:rPr>
                <w:rFonts w:ascii="仿宋_GB2312" w:hAnsi="宋体" w:eastAsia="仿宋_GB2312" w:cs="宋体"/>
                <w:color w:val="000000"/>
                <w:kern w:val="0"/>
                <w:sz w:val="24"/>
              </w:rPr>
            </w:pPr>
            <w:r>
              <w:rPr>
                <w:rFonts w:hint="eastAsia" w:ascii="等线" w:hAnsi="等线" w:eastAsia="等线"/>
                <w:color w:val="000000"/>
                <w:sz w:val="20"/>
                <w:szCs w:val="20"/>
              </w:rPr>
              <w:t>367</w:t>
            </w:r>
          </w:p>
        </w:tc>
        <w:tc>
          <w:tcPr>
            <w:tcW w:w="1275" w:type="dxa"/>
            <w:tcBorders>
              <w:top w:val="single" w:color="auto" w:sz="4" w:space="0"/>
              <w:left w:val="single" w:color="auto" w:sz="4" w:space="0"/>
              <w:bottom w:val="single" w:color="auto" w:sz="4" w:space="0"/>
              <w:right w:val="single" w:color="auto" w:sz="4" w:space="0"/>
            </w:tcBorders>
            <w:vAlign w:val="center"/>
          </w:tcPr>
          <w:p w14:paraId="027C4859">
            <w:pPr>
              <w:widowControl/>
              <w:spacing w:line="360" w:lineRule="auto"/>
              <w:jc w:val="center"/>
              <w:rPr>
                <w:rFonts w:ascii="仿宋_GB2312" w:hAnsi="宋体" w:eastAsia="仿宋_GB2312" w:cs="宋体"/>
                <w:color w:val="000000"/>
                <w:kern w:val="0"/>
                <w:sz w:val="24"/>
              </w:rPr>
            </w:pPr>
            <w:r>
              <w:rPr>
                <w:rFonts w:hint="eastAsia" w:ascii="等线" w:hAnsi="等线" w:eastAsia="等线"/>
                <w:color w:val="000000"/>
                <w:sz w:val="20"/>
                <w:szCs w:val="20"/>
              </w:rPr>
              <w:t>11000</w:t>
            </w:r>
          </w:p>
        </w:tc>
        <w:tc>
          <w:tcPr>
            <w:tcW w:w="4252" w:type="dxa"/>
            <w:tcBorders>
              <w:top w:val="single" w:color="auto" w:sz="4" w:space="0"/>
              <w:left w:val="single" w:color="auto" w:sz="4" w:space="0"/>
              <w:bottom w:val="single" w:color="auto" w:sz="4" w:space="0"/>
              <w:right w:val="single" w:color="auto" w:sz="4" w:space="0"/>
            </w:tcBorders>
            <w:vAlign w:val="center"/>
          </w:tcPr>
          <w:p w14:paraId="74F02152">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投资额110</w:t>
            </w:r>
            <w:r>
              <w:rPr>
                <w:rFonts w:ascii="仿宋_GB2312" w:hAnsi="宋体" w:eastAsia="仿宋_GB2312" w:cs="宋体"/>
                <w:color w:val="000000"/>
                <w:kern w:val="0"/>
                <w:sz w:val="24"/>
              </w:rPr>
              <w:t>0</w:t>
            </w:r>
            <w:r>
              <w:rPr>
                <w:rFonts w:hint="eastAsia" w:ascii="仿宋_GB2312" w:hAnsi="宋体" w:eastAsia="仿宋_GB2312" w:cs="宋体"/>
                <w:color w:val="000000"/>
                <w:kern w:val="0"/>
                <w:sz w:val="24"/>
              </w:rPr>
              <w:t>0万元，按30年平均摊销</w:t>
            </w:r>
          </w:p>
        </w:tc>
      </w:tr>
      <w:tr w14:paraId="3913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6B1F9288">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Arial"/>
                <w:color w:val="000000"/>
                <w:kern w:val="0"/>
                <w:sz w:val="24"/>
              </w:rPr>
              <w:t>1.1</w:t>
            </w:r>
          </w:p>
        </w:tc>
        <w:tc>
          <w:tcPr>
            <w:tcW w:w="1358" w:type="dxa"/>
            <w:tcBorders>
              <w:top w:val="single" w:color="auto" w:sz="4" w:space="0"/>
              <w:left w:val="single" w:color="auto" w:sz="4" w:space="0"/>
              <w:bottom w:val="single" w:color="auto" w:sz="4" w:space="0"/>
              <w:right w:val="single" w:color="auto" w:sz="4" w:space="0"/>
            </w:tcBorders>
            <w:noWrap/>
            <w:vAlign w:val="center"/>
          </w:tcPr>
          <w:p w14:paraId="35455834">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财务费用</w:t>
            </w:r>
          </w:p>
        </w:tc>
        <w:tc>
          <w:tcPr>
            <w:tcW w:w="1418" w:type="dxa"/>
            <w:tcBorders>
              <w:top w:val="single" w:color="auto" w:sz="4" w:space="0"/>
              <w:left w:val="single" w:color="auto" w:sz="4" w:space="0"/>
              <w:bottom w:val="single" w:color="auto" w:sz="4" w:space="0"/>
              <w:right w:val="single" w:color="auto" w:sz="4" w:space="0"/>
            </w:tcBorders>
            <w:noWrap/>
            <w:vAlign w:val="center"/>
          </w:tcPr>
          <w:p w14:paraId="405592D7">
            <w:pPr>
              <w:widowControl/>
              <w:spacing w:line="360" w:lineRule="auto"/>
              <w:jc w:val="center"/>
              <w:rPr>
                <w:rFonts w:ascii="仿宋_GB2312" w:hAnsi="宋体" w:eastAsia="仿宋_GB2312" w:cs="宋体"/>
                <w:color w:val="000000"/>
                <w:kern w:val="0"/>
                <w:sz w:val="24"/>
              </w:rPr>
            </w:pPr>
            <w:r>
              <w:rPr>
                <w:rFonts w:hint="eastAsia" w:ascii="等线" w:hAnsi="等线" w:eastAsia="等线"/>
                <w:color w:val="000000"/>
                <w:sz w:val="20"/>
                <w:szCs w:val="20"/>
              </w:rPr>
              <w:t>190</w:t>
            </w:r>
          </w:p>
        </w:tc>
        <w:tc>
          <w:tcPr>
            <w:tcW w:w="1275" w:type="dxa"/>
            <w:tcBorders>
              <w:top w:val="single" w:color="auto" w:sz="4" w:space="0"/>
              <w:left w:val="single" w:color="auto" w:sz="4" w:space="0"/>
              <w:bottom w:val="single" w:color="auto" w:sz="4" w:space="0"/>
              <w:right w:val="single" w:color="auto" w:sz="4" w:space="0"/>
            </w:tcBorders>
            <w:vAlign w:val="center"/>
          </w:tcPr>
          <w:p w14:paraId="2DEF14AE">
            <w:pPr>
              <w:widowControl/>
              <w:spacing w:line="360" w:lineRule="auto"/>
              <w:jc w:val="center"/>
              <w:rPr>
                <w:rFonts w:ascii="仿宋_GB2312" w:hAnsi="宋体" w:eastAsia="仿宋_GB2312" w:cs="宋体"/>
                <w:color w:val="000000"/>
                <w:kern w:val="0"/>
                <w:sz w:val="24"/>
              </w:rPr>
            </w:pPr>
            <w:r>
              <w:rPr>
                <w:rFonts w:hint="eastAsia" w:ascii="等线" w:hAnsi="等线" w:eastAsia="等线"/>
                <w:color w:val="000000"/>
                <w:sz w:val="20"/>
                <w:szCs w:val="20"/>
              </w:rPr>
              <w:t>5699</w:t>
            </w:r>
          </w:p>
        </w:tc>
        <w:tc>
          <w:tcPr>
            <w:tcW w:w="4252" w:type="dxa"/>
            <w:tcBorders>
              <w:top w:val="single" w:color="auto" w:sz="4" w:space="0"/>
              <w:left w:val="single" w:color="auto" w:sz="4" w:space="0"/>
              <w:bottom w:val="single" w:color="auto" w:sz="4" w:space="0"/>
              <w:right w:val="single" w:color="auto" w:sz="4" w:space="0"/>
            </w:tcBorders>
            <w:vAlign w:val="center"/>
          </w:tcPr>
          <w:p w14:paraId="47F91121">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按照“贷款金额87</w:t>
            </w:r>
            <w:r>
              <w:rPr>
                <w:rFonts w:ascii="仿宋_GB2312" w:hAnsi="宋体" w:eastAsia="仿宋_GB2312" w:cs="宋体"/>
                <w:color w:val="000000"/>
                <w:kern w:val="0"/>
                <w:sz w:val="24"/>
              </w:rPr>
              <w:t>4</w:t>
            </w:r>
            <w:r>
              <w:rPr>
                <w:rFonts w:hint="eastAsia" w:ascii="仿宋_GB2312" w:hAnsi="宋体" w:eastAsia="仿宋_GB2312" w:cs="宋体"/>
                <w:color w:val="000000"/>
                <w:kern w:val="0"/>
                <w:sz w:val="24"/>
              </w:rPr>
              <w:t>6万元、年利率3.6%、贷款期限30年、等额本息”的还款方式，累计应计利息</w:t>
            </w:r>
            <w:r>
              <w:rPr>
                <w:rFonts w:ascii="仿宋_GB2312" w:hAnsi="宋体" w:eastAsia="仿宋_GB2312" w:cs="宋体"/>
                <w:color w:val="000000"/>
                <w:kern w:val="0"/>
                <w:sz w:val="24"/>
              </w:rPr>
              <w:t>5699</w:t>
            </w:r>
            <w:r>
              <w:rPr>
                <w:rFonts w:hint="eastAsia" w:ascii="仿宋_GB2312" w:hAnsi="宋体" w:eastAsia="仿宋_GB2312" w:cs="宋体"/>
                <w:color w:val="000000"/>
                <w:kern w:val="0"/>
                <w:sz w:val="24"/>
              </w:rPr>
              <w:t>万元，年均约190万元</w:t>
            </w:r>
          </w:p>
        </w:tc>
      </w:tr>
      <w:tr w14:paraId="4937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2A3973A9">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二</w:t>
            </w:r>
          </w:p>
        </w:tc>
        <w:tc>
          <w:tcPr>
            <w:tcW w:w="1358" w:type="dxa"/>
            <w:tcBorders>
              <w:top w:val="single" w:color="auto" w:sz="4" w:space="0"/>
              <w:left w:val="single" w:color="auto" w:sz="4" w:space="0"/>
              <w:bottom w:val="single" w:color="auto" w:sz="4" w:space="0"/>
              <w:right w:val="single" w:color="auto" w:sz="4" w:space="0"/>
            </w:tcBorders>
            <w:noWrap/>
            <w:vAlign w:val="center"/>
          </w:tcPr>
          <w:p w14:paraId="7916E279">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直接运营成本</w:t>
            </w:r>
          </w:p>
        </w:tc>
        <w:tc>
          <w:tcPr>
            <w:tcW w:w="1418" w:type="dxa"/>
            <w:tcBorders>
              <w:top w:val="single" w:color="auto" w:sz="4" w:space="0"/>
              <w:left w:val="single" w:color="auto" w:sz="4" w:space="0"/>
              <w:bottom w:val="single" w:color="auto" w:sz="4" w:space="0"/>
              <w:right w:val="single" w:color="auto" w:sz="4" w:space="0"/>
            </w:tcBorders>
            <w:noWrap/>
            <w:vAlign w:val="center"/>
          </w:tcPr>
          <w:p w14:paraId="7DFB321E">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256</w:t>
            </w:r>
          </w:p>
        </w:tc>
        <w:tc>
          <w:tcPr>
            <w:tcW w:w="1275" w:type="dxa"/>
            <w:tcBorders>
              <w:top w:val="single" w:color="auto" w:sz="4" w:space="0"/>
              <w:left w:val="single" w:color="auto" w:sz="4" w:space="0"/>
              <w:bottom w:val="single" w:color="auto" w:sz="4" w:space="0"/>
              <w:right w:val="single" w:color="auto" w:sz="4" w:space="0"/>
            </w:tcBorders>
            <w:vAlign w:val="center"/>
          </w:tcPr>
          <w:p w14:paraId="28BE93F9">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7688</w:t>
            </w:r>
          </w:p>
        </w:tc>
        <w:tc>
          <w:tcPr>
            <w:tcW w:w="4252" w:type="dxa"/>
            <w:tcBorders>
              <w:top w:val="single" w:color="auto" w:sz="4" w:space="0"/>
              <w:left w:val="single" w:color="auto" w:sz="4" w:space="0"/>
              <w:bottom w:val="single" w:color="auto" w:sz="4" w:space="0"/>
              <w:right w:val="single" w:color="auto" w:sz="4" w:space="0"/>
            </w:tcBorders>
            <w:vAlign w:val="center"/>
          </w:tcPr>
          <w:p w14:paraId="323F80AA">
            <w:pPr>
              <w:spacing w:line="360" w:lineRule="auto"/>
              <w:rPr>
                <w:rFonts w:ascii="仿宋_GB2312" w:hAnsi="宋体" w:eastAsia="仿宋_GB2312"/>
                <w:b/>
                <w:color w:val="000000"/>
                <w:kern w:val="0"/>
                <w:sz w:val="24"/>
              </w:rPr>
            </w:pPr>
          </w:p>
        </w:tc>
      </w:tr>
      <w:tr w14:paraId="4644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7AA6E9D1">
            <w:pPr>
              <w:widowControl/>
              <w:spacing w:line="360" w:lineRule="auto"/>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2.1</w:t>
            </w:r>
          </w:p>
        </w:tc>
        <w:tc>
          <w:tcPr>
            <w:tcW w:w="1358" w:type="dxa"/>
            <w:tcBorders>
              <w:top w:val="single" w:color="auto" w:sz="4" w:space="0"/>
              <w:left w:val="single" w:color="auto" w:sz="4" w:space="0"/>
              <w:bottom w:val="single" w:color="auto" w:sz="4" w:space="0"/>
              <w:right w:val="single" w:color="auto" w:sz="4" w:space="0"/>
            </w:tcBorders>
            <w:noWrap/>
            <w:vAlign w:val="center"/>
          </w:tcPr>
          <w:p w14:paraId="7064E511">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人工湿地、资源化利用及一体化设施的运维费</w:t>
            </w:r>
          </w:p>
        </w:tc>
        <w:tc>
          <w:tcPr>
            <w:tcW w:w="1418" w:type="dxa"/>
            <w:tcBorders>
              <w:top w:val="single" w:color="auto" w:sz="4" w:space="0"/>
              <w:left w:val="single" w:color="auto" w:sz="4" w:space="0"/>
              <w:bottom w:val="single" w:color="auto" w:sz="4" w:space="0"/>
              <w:right w:val="single" w:color="auto" w:sz="4" w:space="0"/>
            </w:tcBorders>
            <w:noWrap/>
            <w:vAlign w:val="center"/>
          </w:tcPr>
          <w:p w14:paraId="69B4BDFA">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22</w:t>
            </w:r>
          </w:p>
        </w:tc>
        <w:tc>
          <w:tcPr>
            <w:tcW w:w="1275" w:type="dxa"/>
            <w:tcBorders>
              <w:top w:val="single" w:color="auto" w:sz="4" w:space="0"/>
              <w:left w:val="single" w:color="auto" w:sz="4" w:space="0"/>
              <w:bottom w:val="single" w:color="auto" w:sz="4" w:space="0"/>
              <w:right w:val="single" w:color="auto" w:sz="4" w:space="0"/>
            </w:tcBorders>
            <w:vAlign w:val="center"/>
          </w:tcPr>
          <w:p w14:paraId="55E902F3">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656</w:t>
            </w:r>
          </w:p>
        </w:tc>
        <w:tc>
          <w:tcPr>
            <w:tcW w:w="4252" w:type="dxa"/>
            <w:tcBorders>
              <w:top w:val="single" w:color="auto" w:sz="4" w:space="0"/>
              <w:left w:val="single" w:color="auto" w:sz="4" w:space="0"/>
              <w:bottom w:val="single" w:color="auto" w:sz="4" w:space="0"/>
              <w:right w:val="single" w:color="auto" w:sz="4" w:space="0"/>
            </w:tcBorders>
            <w:vAlign w:val="center"/>
          </w:tcPr>
          <w:p w14:paraId="67230A07">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参照《广州市农村污水治理设施维修养护年度费用估算指标》中的年度养护费用标准（扣除管理费），按单价27.02元/人</w:t>
            </w:r>
            <w:r>
              <w:rPr>
                <w:rFonts w:hint="eastAsia" w:ascii="微软雅黑" w:hAnsi="微软雅黑" w:eastAsia="微软雅黑" w:cs="微软雅黑"/>
                <w:color w:val="000000"/>
                <w:kern w:val="0"/>
                <w:sz w:val="24"/>
              </w:rPr>
              <w:t>•</w:t>
            </w:r>
            <w:r>
              <w:rPr>
                <w:rFonts w:hint="eastAsia" w:ascii="仿宋_GB2312" w:hAnsi="仿宋_GB2312" w:eastAsia="仿宋_GB2312" w:cs="仿宋_GB2312"/>
                <w:color w:val="000000"/>
                <w:kern w:val="0"/>
                <w:sz w:val="24"/>
              </w:rPr>
              <w:t>年</w:t>
            </w:r>
            <w:r>
              <w:rPr>
                <w:rFonts w:hint="eastAsia" w:ascii="仿宋_GB2312" w:hAnsi="宋体" w:eastAsia="仿宋_GB2312" w:cs="宋体"/>
                <w:color w:val="000000"/>
                <w:kern w:val="0"/>
                <w:sz w:val="24"/>
              </w:rPr>
              <w:t>,乘以人工湿地和资源化利用设施覆盖常住人口8091人</w:t>
            </w:r>
          </w:p>
        </w:tc>
      </w:tr>
      <w:tr w14:paraId="17F6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5207FD0B">
            <w:pPr>
              <w:widowControl/>
              <w:spacing w:line="360" w:lineRule="auto"/>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2.2</w:t>
            </w:r>
          </w:p>
        </w:tc>
        <w:tc>
          <w:tcPr>
            <w:tcW w:w="1358" w:type="dxa"/>
            <w:tcBorders>
              <w:top w:val="single" w:color="auto" w:sz="4" w:space="0"/>
              <w:left w:val="single" w:color="auto" w:sz="4" w:space="0"/>
              <w:bottom w:val="single" w:color="auto" w:sz="4" w:space="0"/>
              <w:right w:val="single" w:color="auto" w:sz="4" w:space="0"/>
            </w:tcBorders>
            <w:noWrap/>
            <w:vAlign w:val="center"/>
          </w:tcPr>
          <w:p w14:paraId="1783726E">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人工湿地、资源化利用及一体化维修费（含大修重置）</w:t>
            </w:r>
          </w:p>
        </w:tc>
        <w:tc>
          <w:tcPr>
            <w:tcW w:w="1418" w:type="dxa"/>
            <w:tcBorders>
              <w:top w:val="single" w:color="auto" w:sz="4" w:space="0"/>
              <w:left w:val="single" w:color="auto" w:sz="4" w:space="0"/>
              <w:bottom w:val="single" w:color="auto" w:sz="4" w:space="0"/>
              <w:right w:val="single" w:color="auto" w:sz="4" w:space="0"/>
            </w:tcBorders>
            <w:noWrap/>
            <w:vAlign w:val="center"/>
          </w:tcPr>
          <w:p w14:paraId="28C99ADD">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w:t>
            </w:r>
          </w:p>
        </w:tc>
        <w:tc>
          <w:tcPr>
            <w:tcW w:w="1275" w:type="dxa"/>
            <w:tcBorders>
              <w:top w:val="single" w:color="auto" w:sz="4" w:space="0"/>
              <w:left w:val="single" w:color="auto" w:sz="4" w:space="0"/>
              <w:bottom w:val="single" w:color="auto" w:sz="4" w:space="0"/>
              <w:right w:val="single" w:color="auto" w:sz="4" w:space="0"/>
            </w:tcBorders>
            <w:vAlign w:val="center"/>
          </w:tcPr>
          <w:p w14:paraId="5946CCE7">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700</w:t>
            </w:r>
          </w:p>
        </w:tc>
        <w:tc>
          <w:tcPr>
            <w:tcW w:w="4252" w:type="dxa"/>
            <w:tcBorders>
              <w:top w:val="single" w:color="auto" w:sz="4" w:space="0"/>
              <w:left w:val="single" w:color="auto" w:sz="4" w:space="0"/>
              <w:bottom w:val="single" w:color="auto" w:sz="4" w:space="0"/>
              <w:right w:val="single" w:color="auto" w:sz="4" w:space="0"/>
            </w:tcBorders>
            <w:vAlign w:val="center"/>
          </w:tcPr>
          <w:p w14:paraId="0C2F91BD">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参照《广州市农村污水治理设施维修养护年度费用估算指标》中年度维修费标准（扣除其他费）， 按单价28.82元/人</w:t>
            </w:r>
            <w:r>
              <w:rPr>
                <w:rFonts w:hint="eastAsia" w:ascii="微软雅黑" w:hAnsi="微软雅黑" w:eastAsia="微软雅黑" w:cs="微软雅黑"/>
                <w:color w:val="000000"/>
                <w:kern w:val="0"/>
                <w:sz w:val="24"/>
              </w:rPr>
              <w:t>•</w:t>
            </w:r>
            <w:r>
              <w:rPr>
                <w:rFonts w:hint="eastAsia" w:ascii="仿宋_GB2312" w:hAnsi="宋体" w:eastAsia="仿宋_GB2312" w:cs="宋体"/>
                <w:color w:val="000000"/>
                <w:kern w:val="0"/>
                <w:sz w:val="24"/>
              </w:rPr>
              <w:t>年，乘以人工湿地和资源化利用设施覆盖常住人口</w:t>
            </w:r>
            <w:r>
              <w:rPr>
                <w:rFonts w:ascii="仿宋_GB2312" w:hAnsi="宋体" w:eastAsia="仿宋_GB2312" w:cs="宋体"/>
                <w:color w:val="000000"/>
                <w:kern w:val="0"/>
                <w:sz w:val="24"/>
              </w:rPr>
              <w:t>8091</w:t>
            </w:r>
            <w:r>
              <w:rPr>
                <w:rFonts w:hint="eastAsia" w:ascii="仿宋_GB2312" w:hAnsi="宋体" w:eastAsia="仿宋_GB2312" w:cs="宋体"/>
                <w:color w:val="000000"/>
                <w:kern w:val="0"/>
                <w:sz w:val="24"/>
              </w:rPr>
              <w:t>人</w:t>
            </w:r>
          </w:p>
        </w:tc>
      </w:tr>
      <w:tr w14:paraId="1415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6D969F25">
            <w:pPr>
              <w:widowControl/>
              <w:spacing w:line="360" w:lineRule="auto"/>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2.3</w:t>
            </w:r>
          </w:p>
        </w:tc>
        <w:tc>
          <w:tcPr>
            <w:tcW w:w="1358" w:type="dxa"/>
            <w:tcBorders>
              <w:top w:val="single" w:color="auto" w:sz="4" w:space="0"/>
              <w:left w:val="single" w:color="auto" w:sz="4" w:space="0"/>
              <w:bottom w:val="single" w:color="auto" w:sz="4" w:space="0"/>
              <w:right w:val="single" w:color="auto" w:sz="4" w:space="0"/>
            </w:tcBorders>
            <w:noWrap/>
            <w:vAlign w:val="center"/>
          </w:tcPr>
          <w:p w14:paraId="466438EA">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管网运维费</w:t>
            </w:r>
          </w:p>
        </w:tc>
        <w:tc>
          <w:tcPr>
            <w:tcW w:w="1418" w:type="dxa"/>
            <w:tcBorders>
              <w:top w:val="single" w:color="auto" w:sz="4" w:space="0"/>
              <w:left w:val="single" w:color="auto" w:sz="4" w:space="0"/>
              <w:bottom w:val="single" w:color="auto" w:sz="4" w:space="0"/>
              <w:right w:val="single" w:color="auto" w:sz="4" w:space="0"/>
            </w:tcBorders>
            <w:noWrap/>
            <w:vAlign w:val="center"/>
          </w:tcPr>
          <w:p w14:paraId="0DE84732">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41</w:t>
            </w:r>
          </w:p>
        </w:tc>
        <w:tc>
          <w:tcPr>
            <w:tcW w:w="1275" w:type="dxa"/>
            <w:tcBorders>
              <w:top w:val="single" w:color="auto" w:sz="4" w:space="0"/>
              <w:left w:val="single" w:color="auto" w:sz="4" w:space="0"/>
              <w:bottom w:val="single" w:color="auto" w:sz="4" w:space="0"/>
              <w:right w:val="single" w:color="auto" w:sz="4" w:space="0"/>
            </w:tcBorders>
            <w:vAlign w:val="center"/>
          </w:tcPr>
          <w:p w14:paraId="23000901">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1232</w:t>
            </w:r>
          </w:p>
        </w:tc>
        <w:tc>
          <w:tcPr>
            <w:tcW w:w="4252" w:type="dxa"/>
            <w:tcBorders>
              <w:top w:val="single" w:color="auto" w:sz="4" w:space="0"/>
              <w:left w:val="single" w:color="auto" w:sz="4" w:space="0"/>
              <w:bottom w:val="single" w:color="auto" w:sz="4" w:space="0"/>
              <w:right w:val="single" w:color="auto" w:sz="4" w:space="0"/>
            </w:tcBorders>
            <w:vAlign w:val="center"/>
          </w:tcPr>
          <w:p w14:paraId="53663BE9">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按单价1.2万元/km </w:t>
            </w:r>
            <w:r>
              <w:rPr>
                <w:rFonts w:hint="eastAsia" w:ascii="微软雅黑" w:hAnsi="微软雅黑" w:eastAsia="微软雅黑" w:cs="微软雅黑"/>
                <w:color w:val="000000"/>
                <w:kern w:val="0"/>
                <w:sz w:val="24"/>
              </w:rPr>
              <w:t>•</w:t>
            </w:r>
            <w:r>
              <w:rPr>
                <w:rFonts w:hint="eastAsia" w:ascii="仿宋_GB2312" w:hAnsi="宋体" w:eastAsia="仿宋_GB2312" w:cs="宋体"/>
                <w:color w:val="000000"/>
                <w:kern w:val="0"/>
                <w:sz w:val="24"/>
              </w:rPr>
              <w:t>年，乘以纳厂管渠长度3</w:t>
            </w:r>
            <w:r>
              <w:rPr>
                <w:rFonts w:ascii="仿宋_GB2312" w:hAnsi="宋体" w:eastAsia="仿宋_GB2312" w:cs="宋体"/>
                <w:color w:val="000000"/>
                <w:kern w:val="0"/>
                <w:sz w:val="24"/>
              </w:rPr>
              <w:t>4</w:t>
            </w:r>
            <w:r>
              <w:rPr>
                <w:rFonts w:hint="eastAsia" w:ascii="仿宋_GB2312" w:hAnsi="宋体" w:eastAsia="仿宋_GB2312" w:cs="宋体"/>
                <w:color w:val="000000"/>
                <w:kern w:val="0"/>
                <w:sz w:val="24"/>
              </w:rPr>
              <w:t>.2km</w:t>
            </w:r>
          </w:p>
        </w:tc>
      </w:tr>
      <w:tr w14:paraId="5317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0DE8FC43">
            <w:pPr>
              <w:widowControl/>
              <w:spacing w:line="360" w:lineRule="auto"/>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2.4</w:t>
            </w:r>
          </w:p>
        </w:tc>
        <w:tc>
          <w:tcPr>
            <w:tcW w:w="1358" w:type="dxa"/>
            <w:tcBorders>
              <w:top w:val="single" w:color="auto" w:sz="4" w:space="0"/>
              <w:left w:val="single" w:color="auto" w:sz="4" w:space="0"/>
              <w:bottom w:val="single" w:color="auto" w:sz="4" w:space="0"/>
              <w:right w:val="single" w:color="auto" w:sz="4" w:space="0"/>
            </w:tcBorders>
            <w:noWrap/>
            <w:vAlign w:val="center"/>
          </w:tcPr>
          <w:p w14:paraId="3E225C79">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管网大中修费</w:t>
            </w:r>
          </w:p>
        </w:tc>
        <w:tc>
          <w:tcPr>
            <w:tcW w:w="1418" w:type="dxa"/>
            <w:tcBorders>
              <w:top w:val="single" w:color="auto" w:sz="4" w:space="0"/>
              <w:left w:val="single" w:color="auto" w:sz="4" w:space="0"/>
              <w:bottom w:val="single" w:color="auto" w:sz="4" w:space="0"/>
              <w:right w:val="single" w:color="auto" w:sz="4" w:space="0"/>
            </w:tcBorders>
            <w:noWrap/>
            <w:vAlign w:val="center"/>
          </w:tcPr>
          <w:p w14:paraId="47426865">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104</w:t>
            </w:r>
          </w:p>
        </w:tc>
        <w:tc>
          <w:tcPr>
            <w:tcW w:w="1275" w:type="dxa"/>
            <w:tcBorders>
              <w:top w:val="single" w:color="auto" w:sz="4" w:space="0"/>
              <w:left w:val="single" w:color="auto" w:sz="4" w:space="0"/>
              <w:bottom w:val="single" w:color="auto" w:sz="4" w:space="0"/>
              <w:right w:val="single" w:color="auto" w:sz="4" w:space="0"/>
            </w:tcBorders>
            <w:vAlign w:val="center"/>
          </w:tcPr>
          <w:p w14:paraId="59ABCDBF">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3121</w:t>
            </w:r>
          </w:p>
        </w:tc>
        <w:tc>
          <w:tcPr>
            <w:tcW w:w="4252" w:type="dxa"/>
            <w:tcBorders>
              <w:top w:val="single" w:color="auto" w:sz="4" w:space="0"/>
              <w:left w:val="single" w:color="auto" w:sz="4" w:space="0"/>
              <w:bottom w:val="single" w:color="auto" w:sz="4" w:space="0"/>
              <w:right w:val="single" w:color="auto" w:sz="4" w:space="0"/>
            </w:tcBorders>
            <w:vAlign w:val="center"/>
          </w:tcPr>
          <w:p w14:paraId="2F00F72C">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纳厂管网项目原建设投资额的1%计取</w:t>
            </w:r>
          </w:p>
        </w:tc>
      </w:tr>
      <w:tr w14:paraId="40CE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39D4DB33">
            <w:pPr>
              <w:widowControl/>
              <w:spacing w:line="360" w:lineRule="auto"/>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2.5</w:t>
            </w:r>
          </w:p>
        </w:tc>
        <w:tc>
          <w:tcPr>
            <w:tcW w:w="1358" w:type="dxa"/>
            <w:tcBorders>
              <w:top w:val="single" w:color="auto" w:sz="4" w:space="0"/>
              <w:left w:val="single" w:color="auto" w:sz="4" w:space="0"/>
              <w:bottom w:val="single" w:color="auto" w:sz="4" w:space="0"/>
              <w:right w:val="single" w:color="auto" w:sz="4" w:space="0"/>
            </w:tcBorders>
            <w:noWrap/>
            <w:vAlign w:val="center"/>
          </w:tcPr>
          <w:p w14:paraId="35E9F41E">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人工成本</w:t>
            </w:r>
          </w:p>
        </w:tc>
        <w:tc>
          <w:tcPr>
            <w:tcW w:w="1418" w:type="dxa"/>
            <w:tcBorders>
              <w:top w:val="single" w:color="auto" w:sz="4" w:space="0"/>
              <w:left w:val="single" w:color="auto" w:sz="4" w:space="0"/>
              <w:bottom w:val="single" w:color="auto" w:sz="4" w:space="0"/>
              <w:right w:val="single" w:color="auto" w:sz="4" w:space="0"/>
            </w:tcBorders>
            <w:noWrap/>
            <w:vAlign w:val="center"/>
          </w:tcPr>
          <w:p w14:paraId="6B46EC67">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51</w:t>
            </w:r>
          </w:p>
        </w:tc>
        <w:tc>
          <w:tcPr>
            <w:tcW w:w="1275" w:type="dxa"/>
            <w:tcBorders>
              <w:top w:val="single" w:color="auto" w:sz="4" w:space="0"/>
              <w:left w:val="single" w:color="auto" w:sz="4" w:space="0"/>
              <w:bottom w:val="single" w:color="auto" w:sz="4" w:space="0"/>
              <w:right w:val="single" w:color="auto" w:sz="4" w:space="0"/>
            </w:tcBorders>
            <w:vAlign w:val="center"/>
          </w:tcPr>
          <w:p w14:paraId="1AE80C87">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1543</w:t>
            </w:r>
          </w:p>
        </w:tc>
        <w:tc>
          <w:tcPr>
            <w:tcW w:w="4252" w:type="dxa"/>
            <w:tcBorders>
              <w:top w:val="single" w:color="auto" w:sz="4" w:space="0"/>
              <w:left w:val="single" w:color="auto" w:sz="4" w:space="0"/>
              <w:bottom w:val="single" w:color="auto" w:sz="4" w:space="0"/>
              <w:right w:val="single" w:color="auto" w:sz="4" w:space="0"/>
            </w:tcBorders>
            <w:vAlign w:val="center"/>
          </w:tcPr>
          <w:p w14:paraId="53355A1A">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按潮州市统计局公布的前一年度全市城镇非私营单位，“水利、环境和公共设施管理业”在岗职工平均工资64295元/年；按公司配置8人（项目负责人1人，行政、财务、技术各1人，巡查养护人员两班4人）计</w:t>
            </w:r>
          </w:p>
        </w:tc>
      </w:tr>
      <w:tr w14:paraId="19D4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4E21498F">
            <w:pPr>
              <w:widowControl/>
              <w:spacing w:line="360" w:lineRule="auto"/>
              <w:jc w:val="center"/>
              <w:rPr>
                <w:rFonts w:ascii="仿宋_GB2312" w:hAnsi="宋体" w:eastAsia="仿宋_GB2312" w:cs="Arial"/>
                <w:color w:val="000000"/>
                <w:kern w:val="0"/>
                <w:sz w:val="24"/>
              </w:rPr>
            </w:pPr>
            <w:r>
              <w:rPr>
                <w:rFonts w:hint="eastAsia" w:ascii="仿宋_GB2312" w:hAnsi="宋体" w:eastAsia="仿宋_GB2312" w:cs="Arial"/>
                <w:color w:val="000000"/>
                <w:kern w:val="0"/>
                <w:sz w:val="24"/>
              </w:rPr>
              <w:t>2.6</w:t>
            </w:r>
          </w:p>
        </w:tc>
        <w:tc>
          <w:tcPr>
            <w:tcW w:w="1358" w:type="dxa"/>
            <w:tcBorders>
              <w:top w:val="single" w:color="auto" w:sz="4" w:space="0"/>
              <w:left w:val="single" w:color="auto" w:sz="4" w:space="0"/>
              <w:bottom w:val="single" w:color="auto" w:sz="4" w:space="0"/>
              <w:right w:val="single" w:color="auto" w:sz="4" w:space="0"/>
            </w:tcBorders>
            <w:noWrap/>
            <w:vAlign w:val="center"/>
          </w:tcPr>
          <w:p w14:paraId="6E0FC25F">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公司管理费</w:t>
            </w:r>
          </w:p>
        </w:tc>
        <w:tc>
          <w:tcPr>
            <w:tcW w:w="1418" w:type="dxa"/>
            <w:tcBorders>
              <w:top w:val="single" w:color="auto" w:sz="4" w:space="0"/>
              <w:left w:val="single" w:color="auto" w:sz="4" w:space="0"/>
              <w:bottom w:val="single" w:color="auto" w:sz="4" w:space="0"/>
              <w:right w:val="single" w:color="auto" w:sz="4" w:space="0"/>
            </w:tcBorders>
            <w:noWrap/>
            <w:vAlign w:val="center"/>
          </w:tcPr>
          <w:p w14:paraId="6DA0A507">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1275" w:type="dxa"/>
            <w:tcBorders>
              <w:top w:val="single" w:color="auto" w:sz="4" w:space="0"/>
              <w:left w:val="single" w:color="auto" w:sz="4" w:space="0"/>
              <w:bottom w:val="single" w:color="auto" w:sz="4" w:space="0"/>
              <w:right w:val="single" w:color="auto" w:sz="4" w:space="0"/>
            </w:tcBorders>
            <w:vAlign w:val="center"/>
          </w:tcPr>
          <w:p w14:paraId="46E7FAC0">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435</w:t>
            </w:r>
          </w:p>
        </w:tc>
        <w:tc>
          <w:tcPr>
            <w:tcW w:w="4252" w:type="dxa"/>
            <w:tcBorders>
              <w:top w:val="single" w:color="auto" w:sz="4" w:space="0"/>
              <w:left w:val="single" w:color="auto" w:sz="4" w:space="0"/>
              <w:bottom w:val="single" w:color="auto" w:sz="4" w:space="0"/>
              <w:right w:val="single" w:color="auto" w:sz="4" w:space="0"/>
            </w:tcBorders>
            <w:vAlign w:val="center"/>
          </w:tcPr>
          <w:p w14:paraId="4C8B5F4E">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参照住建部《市政公用设施建设项目经济评价方法与参数》计取公司管理费，按直接成本2</w:t>
            </w:r>
            <w:r>
              <w:rPr>
                <w:rFonts w:ascii="仿宋_GB2312" w:hAnsi="宋体" w:eastAsia="仿宋_GB2312" w:cs="宋体"/>
                <w:color w:val="000000"/>
                <w:kern w:val="0"/>
                <w:sz w:val="24"/>
              </w:rPr>
              <w:t>42</w:t>
            </w:r>
            <w:r>
              <w:rPr>
                <w:rFonts w:hint="eastAsia" w:ascii="仿宋_GB2312" w:hAnsi="宋体" w:eastAsia="仿宋_GB2312" w:cs="宋体"/>
                <w:color w:val="000000"/>
                <w:kern w:val="0"/>
                <w:sz w:val="24"/>
              </w:rPr>
              <w:t>万元（不含摊销及利息）的</w:t>
            </w:r>
            <w:r>
              <w:rPr>
                <w:rFonts w:ascii="仿宋_GB2312" w:hAnsi="宋体" w:eastAsia="仿宋_GB2312" w:cs="宋体"/>
                <w:color w:val="000000"/>
                <w:kern w:val="0"/>
                <w:sz w:val="24"/>
              </w:rPr>
              <w:t>6</w:t>
            </w:r>
            <w:r>
              <w:rPr>
                <w:rFonts w:hint="eastAsia" w:ascii="仿宋_GB2312" w:hAnsi="宋体" w:eastAsia="仿宋_GB2312" w:cs="宋体"/>
                <w:color w:val="000000"/>
                <w:kern w:val="0"/>
                <w:sz w:val="24"/>
              </w:rPr>
              <w:t>%计</w:t>
            </w:r>
          </w:p>
        </w:tc>
      </w:tr>
      <w:tr w14:paraId="18FD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79B94A1B">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三</w:t>
            </w:r>
          </w:p>
        </w:tc>
        <w:tc>
          <w:tcPr>
            <w:tcW w:w="1358" w:type="dxa"/>
            <w:tcBorders>
              <w:top w:val="single" w:color="auto" w:sz="4" w:space="0"/>
              <w:left w:val="single" w:color="auto" w:sz="4" w:space="0"/>
              <w:bottom w:val="single" w:color="auto" w:sz="4" w:space="0"/>
              <w:right w:val="single" w:color="auto" w:sz="4" w:space="0"/>
            </w:tcBorders>
            <w:noWrap/>
            <w:vAlign w:val="center"/>
          </w:tcPr>
          <w:p w14:paraId="545CFA13">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增值税及附加</w:t>
            </w:r>
          </w:p>
        </w:tc>
        <w:tc>
          <w:tcPr>
            <w:tcW w:w="1418" w:type="dxa"/>
            <w:tcBorders>
              <w:top w:val="single" w:color="auto" w:sz="4" w:space="0"/>
              <w:left w:val="single" w:color="auto" w:sz="4" w:space="0"/>
              <w:bottom w:val="single" w:color="auto" w:sz="4" w:space="0"/>
              <w:right w:val="single" w:color="auto" w:sz="4" w:space="0"/>
            </w:tcBorders>
            <w:noWrap/>
            <w:vAlign w:val="center"/>
          </w:tcPr>
          <w:p w14:paraId="0DF285F2">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12</w:t>
            </w:r>
          </w:p>
        </w:tc>
        <w:tc>
          <w:tcPr>
            <w:tcW w:w="1275" w:type="dxa"/>
            <w:tcBorders>
              <w:top w:val="single" w:color="auto" w:sz="4" w:space="0"/>
              <w:left w:val="single" w:color="auto" w:sz="4" w:space="0"/>
              <w:bottom w:val="single" w:color="auto" w:sz="4" w:space="0"/>
              <w:right w:val="single" w:color="auto" w:sz="4" w:space="0"/>
            </w:tcBorders>
            <w:vAlign w:val="center"/>
          </w:tcPr>
          <w:p w14:paraId="2C093CA1">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359</w:t>
            </w:r>
          </w:p>
        </w:tc>
        <w:tc>
          <w:tcPr>
            <w:tcW w:w="4252" w:type="dxa"/>
            <w:tcBorders>
              <w:top w:val="single" w:color="auto" w:sz="4" w:space="0"/>
              <w:left w:val="single" w:color="auto" w:sz="4" w:space="0"/>
              <w:bottom w:val="single" w:color="auto" w:sz="4" w:space="0"/>
              <w:right w:val="single" w:color="auto" w:sz="4" w:space="0"/>
            </w:tcBorders>
            <w:vAlign w:val="center"/>
          </w:tcPr>
          <w:p w14:paraId="7967AA4D">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增值税税率为6%，按70%退税，考虑进项抵扣因素，应计增值税约12万元/年</w:t>
            </w:r>
          </w:p>
        </w:tc>
      </w:tr>
      <w:tr w14:paraId="4AC0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478895B8">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四</w:t>
            </w:r>
          </w:p>
        </w:tc>
        <w:tc>
          <w:tcPr>
            <w:tcW w:w="1358" w:type="dxa"/>
            <w:tcBorders>
              <w:top w:val="single" w:color="auto" w:sz="4" w:space="0"/>
              <w:left w:val="single" w:color="auto" w:sz="4" w:space="0"/>
              <w:bottom w:val="single" w:color="auto" w:sz="4" w:space="0"/>
              <w:right w:val="single" w:color="auto" w:sz="4" w:space="0"/>
            </w:tcBorders>
            <w:noWrap/>
            <w:vAlign w:val="center"/>
          </w:tcPr>
          <w:p w14:paraId="5DE48F68">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税前利润</w:t>
            </w:r>
          </w:p>
        </w:tc>
        <w:tc>
          <w:tcPr>
            <w:tcW w:w="1418" w:type="dxa"/>
            <w:tcBorders>
              <w:top w:val="single" w:color="auto" w:sz="4" w:space="0"/>
              <w:left w:val="single" w:color="auto" w:sz="4" w:space="0"/>
              <w:bottom w:val="single" w:color="auto" w:sz="4" w:space="0"/>
              <w:right w:val="single" w:color="auto" w:sz="4" w:space="0"/>
            </w:tcBorders>
            <w:noWrap/>
            <w:vAlign w:val="center"/>
          </w:tcPr>
          <w:p w14:paraId="245E6146">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94</w:t>
            </w:r>
          </w:p>
        </w:tc>
        <w:tc>
          <w:tcPr>
            <w:tcW w:w="1275" w:type="dxa"/>
            <w:tcBorders>
              <w:top w:val="single" w:color="auto" w:sz="4" w:space="0"/>
              <w:left w:val="single" w:color="auto" w:sz="4" w:space="0"/>
              <w:bottom w:val="single" w:color="auto" w:sz="4" w:space="0"/>
              <w:right w:val="single" w:color="auto" w:sz="4" w:space="0"/>
            </w:tcBorders>
            <w:vAlign w:val="center"/>
          </w:tcPr>
          <w:p w14:paraId="53C681C3">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2825</w:t>
            </w:r>
          </w:p>
        </w:tc>
        <w:tc>
          <w:tcPr>
            <w:tcW w:w="4252" w:type="dxa"/>
            <w:tcBorders>
              <w:top w:val="single" w:color="auto" w:sz="4" w:space="0"/>
              <w:left w:val="single" w:color="auto" w:sz="4" w:space="0"/>
              <w:bottom w:val="single" w:color="auto" w:sz="4" w:space="0"/>
              <w:right w:val="single" w:color="auto" w:sz="4" w:space="0"/>
            </w:tcBorders>
            <w:vAlign w:val="center"/>
          </w:tcPr>
          <w:p w14:paraId="016CECB0">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利润按照资本性投入2254万元、内部收益率6%计</w:t>
            </w:r>
          </w:p>
        </w:tc>
      </w:tr>
      <w:tr w14:paraId="0684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5F21A6DD">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五</w:t>
            </w:r>
          </w:p>
        </w:tc>
        <w:tc>
          <w:tcPr>
            <w:tcW w:w="1358" w:type="dxa"/>
            <w:tcBorders>
              <w:top w:val="single" w:color="auto" w:sz="4" w:space="0"/>
              <w:left w:val="single" w:color="auto" w:sz="4" w:space="0"/>
              <w:bottom w:val="single" w:color="auto" w:sz="4" w:space="0"/>
              <w:right w:val="single" w:color="auto" w:sz="4" w:space="0"/>
            </w:tcBorders>
            <w:noWrap/>
            <w:vAlign w:val="center"/>
          </w:tcPr>
          <w:p w14:paraId="290B5D5B">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企业所得税</w:t>
            </w:r>
          </w:p>
        </w:tc>
        <w:tc>
          <w:tcPr>
            <w:tcW w:w="1418" w:type="dxa"/>
            <w:tcBorders>
              <w:top w:val="single" w:color="auto" w:sz="4" w:space="0"/>
              <w:left w:val="single" w:color="auto" w:sz="4" w:space="0"/>
              <w:bottom w:val="single" w:color="auto" w:sz="4" w:space="0"/>
              <w:right w:val="single" w:color="auto" w:sz="4" w:space="0"/>
            </w:tcBorders>
            <w:noWrap/>
            <w:vAlign w:val="center"/>
          </w:tcPr>
          <w:p w14:paraId="34092335">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24</w:t>
            </w:r>
          </w:p>
        </w:tc>
        <w:tc>
          <w:tcPr>
            <w:tcW w:w="1275" w:type="dxa"/>
            <w:tcBorders>
              <w:top w:val="single" w:color="auto" w:sz="4" w:space="0"/>
              <w:left w:val="single" w:color="auto" w:sz="4" w:space="0"/>
              <w:bottom w:val="single" w:color="auto" w:sz="4" w:space="0"/>
              <w:right w:val="single" w:color="auto" w:sz="4" w:space="0"/>
            </w:tcBorders>
            <w:noWrap/>
            <w:vAlign w:val="center"/>
          </w:tcPr>
          <w:p w14:paraId="5D98761A">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718</w:t>
            </w:r>
          </w:p>
        </w:tc>
        <w:tc>
          <w:tcPr>
            <w:tcW w:w="4252" w:type="dxa"/>
            <w:tcBorders>
              <w:top w:val="single" w:color="auto" w:sz="4" w:space="0"/>
              <w:left w:val="single" w:color="auto" w:sz="4" w:space="0"/>
              <w:bottom w:val="single" w:color="auto" w:sz="4" w:space="0"/>
              <w:right w:val="single" w:color="auto" w:sz="4" w:space="0"/>
            </w:tcBorders>
            <w:noWrap/>
            <w:vAlign w:val="center"/>
          </w:tcPr>
          <w:p w14:paraId="3CF7B915">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企业所得税税率为税前利润的25%</w:t>
            </w:r>
          </w:p>
        </w:tc>
      </w:tr>
      <w:tr w14:paraId="6101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19E065A1">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六</w:t>
            </w:r>
          </w:p>
        </w:tc>
        <w:tc>
          <w:tcPr>
            <w:tcW w:w="1358" w:type="dxa"/>
            <w:tcBorders>
              <w:top w:val="single" w:color="auto" w:sz="4" w:space="0"/>
              <w:left w:val="single" w:color="auto" w:sz="4" w:space="0"/>
              <w:bottom w:val="single" w:color="auto" w:sz="4" w:space="0"/>
              <w:right w:val="single" w:color="auto" w:sz="4" w:space="0"/>
            </w:tcBorders>
            <w:noWrap/>
            <w:vAlign w:val="center"/>
          </w:tcPr>
          <w:p w14:paraId="50A79140">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净利润</w:t>
            </w:r>
          </w:p>
        </w:tc>
        <w:tc>
          <w:tcPr>
            <w:tcW w:w="1418" w:type="dxa"/>
            <w:tcBorders>
              <w:top w:val="single" w:color="auto" w:sz="4" w:space="0"/>
              <w:left w:val="single" w:color="auto" w:sz="4" w:space="0"/>
              <w:bottom w:val="single" w:color="auto" w:sz="4" w:space="0"/>
              <w:right w:val="single" w:color="auto" w:sz="4" w:space="0"/>
            </w:tcBorders>
            <w:noWrap/>
            <w:vAlign w:val="center"/>
          </w:tcPr>
          <w:p w14:paraId="477C3431">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70</w:t>
            </w:r>
          </w:p>
        </w:tc>
        <w:tc>
          <w:tcPr>
            <w:tcW w:w="1275" w:type="dxa"/>
            <w:tcBorders>
              <w:top w:val="single" w:color="auto" w:sz="4" w:space="0"/>
              <w:left w:val="single" w:color="auto" w:sz="4" w:space="0"/>
              <w:bottom w:val="single" w:color="auto" w:sz="4" w:space="0"/>
              <w:right w:val="single" w:color="auto" w:sz="4" w:space="0"/>
            </w:tcBorders>
            <w:noWrap/>
            <w:vAlign w:val="center"/>
          </w:tcPr>
          <w:p w14:paraId="02EB23E1">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2107</w:t>
            </w:r>
          </w:p>
        </w:tc>
        <w:tc>
          <w:tcPr>
            <w:tcW w:w="4252" w:type="dxa"/>
            <w:tcBorders>
              <w:top w:val="single" w:color="auto" w:sz="4" w:space="0"/>
              <w:left w:val="single" w:color="auto" w:sz="4" w:space="0"/>
              <w:bottom w:val="single" w:color="auto" w:sz="4" w:space="0"/>
              <w:right w:val="single" w:color="auto" w:sz="4" w:space="0"/>
            </w:tcBorders>
            <w:vAlign w:val="center"/>
          </w:tcPr>
          <w:p w14:paraId="11CC2DAE">
            <w:pPr>
              <w:spacing w:line="360" w:lineRule="auto"/>
              <w:rPr>
                <w:rFonts w:ascii="仿宋_GB2312" w:hAnsi="宋体" w:eastAsia="仿宋_GB2312" w:cs="宋体"/>
                <w:b/>
                <w:color w:val="000000"/>
                <w:kern w:val="0"/>
                <w:sz w:val="24"/>
              </w:rPr>
            </w:pPr>
          </w:p>
        </w:tc>
      </w:tr>
      <w:tr w14:paraId="560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5" w:type="dxa"/>
            <w:tcBorders>
              <w:top w:val="single" w:color="auto" w:sz="4" w:space="0"/>
              <w:left w:val="single" w:color="auto" w:sz="4" w:space="0"/>
              <w:bottom w:val="single" w:color="auto" w:sz="4" w:space="0"/>
              <w:right w:val="single" w:color="auto" w:sz="4" w:space="0"/>
            </w:tcBorders>
            <w:noWrap/>
            <w:vAlign w:val="center"/>
          </w:tcPr>
          <w:p w14:paraId="067C6556">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七</w:t>
            </w:r>
          </w:p>
        </w:tc>
        <w:tc>
          <w:tcPr>
            <w:tcW w:w="1358" w:type="dxa"/>
            <w:tcBorders>
              <w:top w:val="single" w:color="auto" w:sz="4" w:space="0"/>
              <w:left w:val="single" w:color="auto" w:sz="4" w:space="0"/>
              <w:bottom w:val="single" w:color="auto" w:sz="4" w:space="0"/>
              <w:right w:val="single" w:color="auto" w:sz="4" w:space="0"/>
            </w:tcBorders>
            <w:noWrap/>
            <w:vAlign w:val="center"/>
          </w:tcPr>
          <w:p w14:paraId="6D4845FE">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政府应付污水处理服务费</w:t>
            </w:r>
          </w:p>
        </w:tc>
        <w:tc>
          <w:tcPr>
            <w:tcW w:w="1418" w:type="dxa"/>
            <w:tcBorders>
              <w:top w:val="single" w:color="auto" w:sz="4" w:space="0"/>
              <w:left w:val="single" w:color="auto" w:sz="4" w:space="0"/>
              <w:bottom w:val="single" w:color="auto" w:sz="4" w:space="0"/>
              <w:right w:val="single" w:color="auto" w:sz="4" w:space="0"/>
            </w:tcBorders>
            <w:noWrap/>
            <w:vAlign w:val="center"/>
          </w:tcPr>
          <w:p w14:paraId="08B2127E">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919</w:t>
            </w:r>
          </w:p>
        </w:tc>
        <w:tc>
          <w:tcPr>
            <w:tcW w:w="1275" w:type="dxa"/>
            <w:tcBorders>
              <w:top w:val="single" w:color="auto" w:sz="4" w:space="0"/>
              <w:left w:val="single" w:color="auto" w:sz="4" w:space="0"/>
              <w:bottom w:val="single" w:color="auto" w:sz="4" w:space="0"/>
              <w:right w:val="single" w:color="auto" w:sz="4" w:space="0"/>
            </w:tcBorders>
            <w:noWrap/>
            <w:vAlign w:val="center"/>
          </w:tcPr>
          <w:p w14:paraId="327C30EF">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27570</w:t>
            </w:r>
          </w:p>
        </w:tc>
        <w:tc>
          <w:tcPr>
            <w:tcW w:w="4252" w:type="dxa"/>
            <w:tcBorders>
              <w:top w:val="single" w:color="auto" w:sz="4" w:space="0"/>
              <w:left w:val="single" w:color="auto" w:sz="4" w:space="0"/>
              <w:bottom w:val="single" w:color="auto" w:sz="4" w:space="0"/>
              <w:right w:val="single" w:color="auto" w:sz="4" w:space="0"/>
            </w:tcBorders>
            <w:vAlign w:val="center"/>
          </w:tcPr>
          <w:p w14:paraId="616E0D66">
            <w:pPr>
              <w:widowControl/>
              <w:spacing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本表第一、二、三、四项之和</w:t>
            </w:r>
          </w:p>
        </w:tc>
      </w:tr>
    </w:tbl>
    <w:p w14:paraId="3CF73397">
      <w:pPr>
        <w:pStyle w:val="43"/>
        <w:adjustRightInd w:val="0"/>
        <w:spacing w:beforeLines="0" w:afterLines="0" w:line="360" w:lineRule="auto"/>
        <w:ind w:firstLine="0" w:firstLineChars="0"/>
        <w:jc w:val="center"/>
        <w:rPr>
          <w:rStyle w:val="29"/>
          <w:rFonts w:ascii="宋体" w:hAnsi="宋体"/>
          <w:b/>
          <w:bCs/>
          <w:sz w:val="28"/>
          <w:szCs w:val="28"/>
        </w:rPr>
      </w:pPr>
    </w:p>
    <w:p w14:paraId="26ADFAA9">
      <w:pPr>
        <w:pStyle w:val="5"/>
      </w:pPr>
      <w:bookmarkStart w:id="81" w:name="_Toc3161"/>
      <w:r>
        <w:t>6、项目收费情况</w:t>
      </w:r>
      <w:bookmarkEnd w:id="81"/>
    </w:p>
    <w:p w14:paraId="2169BFD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根据供水公司对磷溪镇、意溪镇、官塘镇、铁铺镇供水量统计，近5年年平均供水量为8</w:t>
      </w:r>
      <w:r>
        <w:rPr>
          <w:rFonts w:ascii="Times New Roman Regular" w:hAnsi="Times New Roman Regular" w:eastAsia="仿宋_GB2312" w:cs="Times New Roman Regular"/>
          <w:color w:val="000000" w:themeColor="text1"/>
          <w:sz w:val="28"/>
          <w:szCs w:val="28"/>
          <w14:textFill>
            <w14:solidFill>
              <w14:schemeClr w14:val="tx1"/>
            </w14:solidFill>
          </w14:textFill>
        </w:rPr>
        <w:t>36</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万m</w:t>
      </w:r>
      <w:r>
        <w:rPr>
          <w:rFonts w:ascii="Times New Roman Regular" w:hAnsi="Times New Roman Regular" w:eastAsia="仿宋_GB2312" w:cs="Times New Roman Regular"/>
          <w:color w:val="000000" w:themeColor="text1"/>
          <w:sz w:val="28"/>
          <w:szCs w:val="28"/>
          <w:vertAlign w:val="superscript"/>
          <w14:textFill>
            <w14:solidFill>
              <w14:schemeClr w14:val="tx1"/>
            </w14:solidFill>
          </w14:textFill>
        </w:rPr>
        <w:t>3</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，则污水处理费全部按居民标准每立方米0.95元估算，合计约7</w:t>
      </w:r>
      <w:r>
        <w:rPr>
          <w:rFonts w:ascii="Times New Roman Regular" w:hAnsi="Times New Roman Regular" w:eastAsia="仿宋_GB2312" w:cs="Times New Roman Regular"/>
          <w:color w:val="000000" w:themeColor="text1"/>
          <w:sz w:val="28"/>
          <w:szCs w:val="28"/>
          <w14:textFill>
            <w14:solidFill>
              <w14:schemeClr w14:val="tx1"/>
            </w14:solidFill>
          </w14:textFill>
        </w:rPr>
        <w:t>94.2</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w:t>
      </w:r>
    </w:p>
    <w:p w14:paraId="70F260D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根据潮州市人民政府2018 年的人口普查数据表且《潮州市总体规划（2020-2035）》中人口年增长率为1.6%。</w:t>
      </w:r>
      <w:r>
        <w:rPr>
          <w:rFonts w:ascii="Times New Roman Regular" w:hAnsi="Times New Roman Regular" w:eastAsia="仿宋_GB2312" w:cs="Times New Roman Regular"/>
          <w:color w:val="000000" w:themeColor="text1"/>
          <w:sz w:val="28"/>
          <w:szCs w:val="28"/>
          <w14:textFill>
            <w14:solidFill>
              <w14:schemeClr w14:val="tx1"/>
            </w14:solidFill>
          </w14:textFill>
        </w:rPr>
        <w:t>考虑到未来人口因素和产业发展因素，</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四镇供水量2</w:t>
      </w:r>
      <w:r>
        <w:rPr>
          <w:rFonts w:ascii="Times New Roman Regular" w:hAnsi="Times New Roman Regular" w:eastAsia="仿宋_GB2312" w:cs="Times New Roman Regular"/>
          <w:color w:val="000000" w:themeColor="text1"/>
          <w:sz w:val="28"/>
          <w:szCs w:val="28"/>
          <w14:textFill>
            <w14:solidFill>
              <w14:schemeClr w14:val="tx1"/>
            </w14:solidFill>
          </w14:textFill>
        </w:rPr>
        <w:t>025-2034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平均年增长率按2</w:t>
      </w:r>
      <w:r>
        <w:rPr>
          <w:rFonts w:ascii="Times New Roman Regular" w:hAnsi="Times New Roman Regular" w:eastAsia="仿宋_GB2312" w:cs="Times New Roman Regular"/>
          <w:color w:val="000000" w:themeColor="text1"/>
          <w:sz w:val="28"/>
          <w:szCs w:val="28"/>
          <w14:textFill>
            <w14:solidFill>
              <w14:schemeClr w14:val="tx1"/>
            </w14:solidFill>
          </w14:textFill>
        </w:rPr>
        <w:t>%</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估算，2</w:t>
      </w:r>
      <w:r>
        <w:rPr>
          <w:rFonts w:ascii="Times New Roman Regular" w:hAnsi="Times New Roman Regular" w:eastAsia="仿宋_GB2312" w:cs="Times New Roman Regular"/>
          <w:color w:val="000000" w:themeColor="text1"/>
          <w:sz w:val="28"/>
          <w:szCs w:val="28"/>
          <w14:textFill>
            <w14:solidFill>
              <w14:schemeClr w14:val="tx1"/>
            </w14:solidFill>
          </w14:textFill>
        </w:rPr>
        <w:t>035-2044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平均年增长率此后按1</w:t>
      </w:r>
      <w:r>
        <w:rPr>
          <w:rFonts w:ascii="Times New Roman Regular" w:hAnsi="Times New Roman Regular" w:eastAsia="仿宋_GB2312" w:cs="Times New Roman Regular"/>
          <w:color w:val="000000" w:themeColor="text1"/>
          <w:sz w:val="28"/>
          <w:szCs w:val="28"/>
          <w14:textFill>
            <w14:solidFill>
              <w14:schemeClr w14:val="tx1"/>
            </w14:solidFill>
          </w14:textFill>
        </w:rPr>
        <w:t>%</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估算，此后1</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年不计算增长。</w:t>
      </w:r>
    </w:p>
    <w:p w14:paraId="1D79227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根据潮州市污水处理费调节历史来看， 2010年1月1日起市区污水处理费征收标准从0.50元／立方米调整为0.80元／立方米；2016年污水处理费征收标准为居民类每立方米0.95元、非居民类每立方米1.4元。假设此次调价时间间隔为1</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年，上调幅度为2</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，则预计2</w:t>
      </w:r>
      <w:r>
        <w:rPr>
          <w:rFonts w:ascii="Times New Roman Regular" w:hAnsi="Times New Roman Regular" w:eastAsia="仿宋_GB2312" w:cs="Times New Roman Regular"/>
          <w:color w:val="000000" w:themeColor="text1"/>
          <w:sz w:val="28"/>
          <w:szCs w:val="28"/>
          <w14:textFill>
            <w14:solidFill>
              <w14:schemeClr w14:val="tx1"/>
            </w14:solidFill>
          </w14:textFill>
        </w:rPr>
        <w:t>026</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年居民污水处理费标准将调整至每立方米1</w:t>
      </w:r>
      <w:r>
        <w:rPr>
          <w:rFonts w:ascii="Times New Roman Regular" w:hAnsi="Times New Roman Regular" w:eastAsia="仿宋_GB2312" w:cs="Times New Roman Regular"/>
          <w:color w:val="000000" w:themeColor="text1"/>
          <w:sz w:val="28"/>
          <w:szCs w:val="28"/>
          <w14:textFill>
            <w14:solidFill>
              <w14:schemeClr w14:val="tx1"/>
            </w14:solidFill>
          </w14:textFill>
        </w:rPr>
        <w:t>.14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元。</w:t>
      </w:r>
    </w:p>
    <w:p w14:paraId="7B75FE42">
      <w:pPr>
        <w:pStyle w:val="17"/>
        <w:widowControl/>
        <w:shd w:val="clear" w:color="auto" w:fill="FFFFFF"/>
        <w:spacing w:beforeAutospacing="0" w:afterAutospacing="0"/>
        <w:ind w:firstLine="560" w:firstLineChars="200"/>
        <w:jc w:val="both"/>
        <w:rPr>
          <w:rFonts w:ascii="Times New Roman Regular" w:hAnsi="Times New Roman Regular" w:cs="Times New Roman Regular"/>
          <w:color w:val="000000" w:themeColor="text1"/>
          <w:sz w:val="22"/>
          <w:szCs w:val="22"/>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本项目范围未来污水处理费</w:t>
      </w:r>
      <w:r>
        <w:rPr>
          <w:rFonts w:ascii="Times New Roman Regular" w:hAnsi="Times New Roman Regular" w:eastAsia="仿宋_GB2312" w:cs="Times New Roman Regular"/>
          <w:color w:val="000000" w:themeColor="text1"/>
          <w:sz w:val="28"/>
          <w:szCs w:val="28"/>
          <w14:textFill>
            <w14:solidFill>
              <w14:schemeClr w14:val="tx1"/>
            </w14:solidFill>
          </w14:textFill>
        </w:rPr>
        <w:t>收费情况</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预测</w:t>
      </w:r>
      <w:r>
        <w:rPr>
          <w:rFonts w:ascii="Times New Roman Regular" w:hAnsi="Times New Roman Regular" w:eastAsia="仿宋_GB2312" w:cs="Times New Roman Regular"/>
          <w:color w:val="000000" w:themeColor="text1"/>
          <w:sz w:val="28"/>
          <w:szCs w:val="28"/>
          <w14:textFill>
            <w14:solidFill>
              <w14:schemeClr w14:val="tx1"/>
            </w14:solidFill>
          </w14:textFill>
        </w:rPr>
        <w:t>如下表</w:t>
      </w:r>
      <w:r>
        <w:rPr>
          <w:rFonts w:ascii="Times New Roman Regular" w:hAnsi="Times New Roman Regular" w:cs="Times New Roman Regular"/>
          <w:color w:val="000000" w:themeColor="text1"/>
          <w:sz w:val="22"/>
          <w:szCs w:val="22"/>
          <w14:textFill>
            <w14:solidFill>
              <w14:schemeClr w14:val="tx1"/>
            </w14:solidFill>
          </w14:textFill>
        </w:rPr>
        <w:t>：</w:t>
      </w:r>
    </w:p>
    <w:p w14:paraId="4BD37634">
      <w:pPr>
        <w:pStyle w:val="17"/>
        <w:widowControl/>
        <w:shd w:val="clear" w:color="auto" w:fill="FFFFFF"/>
        <w:spacing w:beforeAutospacing="0" w:afterAutospacing="0"/>
        <w:ind w:firstLine="440" w:firstLineChars="200"/>
        <w:jc w:val="both"/>
        <w:rPr>
          <w:rFonts w:ascii="Times New Roman Regular" w:hAnsi="Times New Roman Regular" w:cs="Times New Roman Regular"/>
          <w:color w:val="000000" w:themeColor="text1"/>
          <w:sz w:val="22"/>
          <w:szCs w:val="22"/>
          <w14:textFill>
            <w14:solidFill>
              <w14:schemeClr w14:val="tx1"/>
            </w14:solidFill>
          </w14:textFill>
        </w:rPr>
      </w:pPr>
    </w:p>
    <w:p w14:paraId="78A81426">
      <w:pPr>
        <w:pStyle w:val="17"/>
        <w:widowControl/>
        <w:shd w:val="clear" w:color="auto" w:fill="FFFFFF"/>
        <w:spacing w:beforeAutospacing="0" w:afterAutospacing="0"/>
        <w:ind w:firstLine="562" w:firstLineChars="200"/>
        <w:jc w:val="center"/>
        <w:rPr>
          <w:rFonts w:ascii="仿宋_GB2312" w:hAnsi="宋体" w:eastAsia="仿宋_GB2312" w:cs="Times New Roman Regular"/>
          <w:b/>
          <w:bCs/>
          <w:color w:val="000000" w:themeColor="text1"/>
          <w:sz w:val="28"/>
          <w:szCs w:val="28"/>
          <w14:textFill>
            <w14:solidFill>
              <w14:schemeClr w14:val="tx1"/>
            </w14:solidFill>
          </w14:textFill>
        </w:rPr>
      </w:pPr>
      <w:r>
        <w:rPr>
          <w:rFonts w:hint="eastAsia" w:ascii="仿宋_GB2312" w:hAnsi="宋体" w:eastAsia="仿宋_GB2312" w:cs="Times New Roman Regular"/>
          <w:b/>
          <w:bCs/>
          <w:color w:val="000000" w:themeColor="text1"/>
          <w:sz w:val="28"/>
          <w:szCs w:val="28"/>
          <w14:textFill>
            <w14:solidFill>
              <w14:schemeClr w14:val="tx1"/>
            </w14:solidFill>
          </w14:textFill>
        </w:rPr>
        <w:t>表3-4 项目范围污水处理费收费预测表</w:t>
      </w:r>
    </w:p>
    <w:tbl>
      <w:tblPr>
        <w:tblStyle w:val="18"/>
        <w:tblW w:w="9175" w:type="dxa"/>
        <w:jc w:val="center"/>
        <w:tblLayout w:type="autofit"/>
        <w:tblCellMar>
          <w:top w:w="0" w:type="dxa"/>
          <w:left w:w="108" w:type="dxa"/>
          <w:bottom w:w="0" w:type="dxa"/>
          <w:right w:w="108" w:type="dxa"/>
        </w:tblCellMar>
      </w:tblPr>
      <w:tblGrid>
        <w:gridCol w:w="1108"/>
        <w:gridCol w:w="719"/>
        <w:gridCol w:w="719"/>
        <w:gridCol w:w="719"/>
        <w:gridCol w:w="719"/>
        <w:gridCol w:w="720"/>
        <w:gridCol w:w="720"/>
        <w:gridCol w:w="720"/>
        <w:gridCol w:w="720"/>
        <w:gridCol w:w="720"/>
        <w:gridCol w:w="720"/>
        <w:gridCol w:w="871"/>
      </w:tblGrid>
      <w:tr w14:paraId="7696C5C3">
        <w:trPr>
          <w:trHeight w:val="371" w:hRule="atLeast"/>
          <w:jc w:val="center"/>
        </w:trPr>
        <w:tc>
          <w:tcPr>
            <w:tcW w:w="1108"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tcPr>
          <w:p w14:paraId="5D45AAE0">
            <w:pPr>
              <w:widowControl/>
              <w:jc w:val="center"/>
              <w:rPr>
                <w:rFonts w:ascii="仿宋_GB2312" w:hAnsi="仿宋" w:eastAsia="仿宋_GB2312" w:cs="宋体"/>
                <w:b/>
                <w:bCs/>
                <w:color w:val="000000"/>
                <w:kern w:val="0"/>
                <w:sz w:val="22"/>
                <w:szCs w:val="22"/>
              </w:rPr>
            </w:pPr>
            <w:r>
              <w:rPr>
                <w:rFonts w:hint="eastAsia" w:ascii="仿宋_GB2312" w:hAnsi="仿宋" w:eastAsia="仿宋_GB2312" w:cs="宋体"/>
                <w:b/>
                <w:bCs/>
                <w:color w:val="000000"/>
                <w:kern w:val="0"/>
                <w:sz w:val="22"/>
                <w:szCs w:val="22"/>
              </w:rPr>
              <w:t>年份</w:t>
            </w:r>
          </w:p>
        </w:tc>
        <w:tc>
          <w:tcPr>
            <w:tcW w:w="719"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54B9377A">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2025</w:t>
            </w:r>
          </w:p>
        </w:tc>
        <w:tc>
          <w:tcPr>
            <w:tcW w:w="719"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609236EF">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2026</w:t>
            </w:r>
          </w:p>
        </w:tc>
        <w:tc>
          <w:tcPr>
            <w:tcW w:w="719"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64525314">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2027</w:t>
            </w:r>
          </w:p>
        </w:tc>
        <w:tc>
          <w:tcPr>
            <w:tcW w:w="719"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454A0174">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2028</w:t>
            </w:r>
          </w:p>
        </w:tc>
        <w:tc>
          <w:tcPr>
            <w:tcW w:w="720"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43269B27">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2029</w:t>
            </w:r>
          </w:p>
        </w:tc>
        <w:tc>
          <w:tcPr>
            <w:tcW w:w="720"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3B1B031B">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2030</w:t>
            </w:r>
          </w:p>
        </w:tc>
        <w:tc>
          <w:tcPr>
            <w:tcW w:w="720"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1652F7C8">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2031</w:t>
            </w:r>
          </w:p>
        </w:tc>
        <w:tc>
          <w:tcPr>
            <w:tcW w:w="720"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07F86663">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2032</w:t>
            </w:r>
          </w:p>
        </w:tc>
        <w:tc>
          <w:tcPr>
            <w:tcW w:w="720"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5F7C9651">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2033</w:t>
            </w:r>
          </w:p>
        </w:tc>
        <w:tc>
          <w:tcPr>
            <w:tcW w:w="720"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499F7DAA">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2034</w:t>
            </w:r>
          </w:p>
        </w:tc>
        <w:tc>
          <w:tcPr>
            <w:tcW w:w="871" w:type="dxa"/>
            <w:tcBorders>
              <w:top w:val="single" w:color="auto" w:sz="8" w:space="0"/>
              <w:left w:val="nil"/>
              <w:bottom w:val="single" w:color="auto" w:sz="8" w:space="0"/>
              <w:right w:val="single" w:color="auto" w:sz="8" w:space="0"/>
            </w:tcBorders>
            <w:shd w:val="clear" w:color="auto" w:fill="D0CECE" w:themeFill="background2" w:themeFillShade="E6"/>
            <w:vAlign w:val="center"/>
          </w:tcPr>
          <w:p w14:paraId="06A4AD3E">
            <w:pPr>
              <w:widowControl/>
              <w:jc w:val="center"/>
              <w:rPr>
                <w:rFonts w:ascii="仿宋_GB2312" w:hAnsi="Times New Roman Regular" w:eastAsia="仿宋_GB2312" w:cs="Times New Roman Regular"/>
                <w:b/>
                <w:bCs/>
                <w:color w:val="000000"/>
                <w:kern w:val="0"/>
                <w:sz w:val="22"/>
                <w:szCs w:val="22"/>
              </w:rPr>
            </w:pPr>
            <w:r>
              <w:rPr>
                <w:rFonts w:hint="eastAsia" w:ascii="仿宋_GB2312" w:hAnsi="Times New Roman Regular" w:eastAsia="仿宋_GB2312" w:cs="Times New Roman Regular"/>
                <w:b/>
                <w:bCs/>
                <w:color w:val="000000"/>
                <w:sz w:val="22"/>
                <w:szCs w:val="22"/>
              </w:rPr>
              <w:t>2035</w:t>
            </w:r>
          </w:p>
        </w:tc>
      </w:tr>
      <w:tr w14:paraId="3D303F63">
        <w:tblPrEx>
          <w:tblCellMar>
            <w:top w:w="0" w:type="dxa"/>
            <w:left w:w="108" w:type="dxa"/>
            <w:bottom w:w="0" w:type="dxa"/>
            <w:right w:w="108" w:type="dxa"/>
          </w:tblCellMar>
        </w:tblPrEx>
        <w:trPr>
          <w:trHeight w:val="371" w:hRule="atLeast"/>
          <w:jc w:val="center"/>
        </w:trPr>
        <w:tc>
          <w:tcPr>
            <w:tcW w:w="1108" w:type="dxa"/>
            <w:tcBorders>
              <w:top w:val="nil"/>
              <w:left w:val="single" w:color="auto" w:sz="8" w:space="0"/>
              <w:bottom w:val="single" w:color="auto" w:sz="8" w:space="0"/>
              <w:right w:val="single" w:color="auto" w:sz="8" w:space="0"/>
            </w:tcBorders>
            <w:shd w:val="clear" w:color="auto" w:fill="auto"/>
            <w:vAlign w:val="center"/>
          </w:tcPr>
          <w:p w14:paraId="112DCA6C">
            <w:pPr>
              <w:widowControl/>
              <w:jc w:val="center"/>
              <w:rPr>
                <w:rFonts w:ascii="仿宋_GB2312" w:hAnsi="仿宋" w:eastAsia="仿宋_GB2312" w:cs="宋体"/>
                <w:color w:val="000000"/>
                <w:kern w:val="0"/>
                <w:sz w:val="22"/>
                <w:szCs w:val="22"/>
              </w:rPr>
            </w:pPr>
            <w:r>
              <w:rPr>
                <w:rFonts w:hint="eastAsia" w:ascii="仿宋_GB2312" w:hAnsi="仿宋" w:eastAsia="仿宋_GB2312" w:cs="宋体"/>
                <w:color w:val="000000"/>
                <w:kern w:val="0"/>
                <w:sz w:val="22"/>
                <w:szCs w:val="22"/>
              </w:rPr>
              <w:t>污水处理费收入(万元)</w:t>
            </w:r>
          </w:p>
        </w:tc>
        <w:tc>
          <w:tcPr>
            <w:tcW w:w="719" w:type="dxa"/>
            <w:tcBorders>
              <w:top w:val="nil"/>
              <w:left w:val="nil"/>
              <w:bottom w:val="single" w:color="auto" w:sz="8" w:space="0"/>
              <w:right w:val="single" w:color="auto" w:sz="8" w:space="0"/>
            </w:tcBorders>
            <w:shd w:val="clear" w:color="auto" w:fill="auto"/>
            <w:vAlign w:val="center"/>
          </w:tcPr>
          <w:p w14:paraId="24BB3906">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826</w:t>
            </w:r>
          </w:p>
        </w:tc>
        <w:tc>
          <w:tcPr>
            <w:tcW w:w="719" w:type="dxa"/>
            <w:tcBorders>
              <w:top w:val="nil"/>
              <w:left w:val="nil"/>
              <w:bottom w:val="single" w:color="auto" w:sz="8" w:space="0"/>
              <w:right w:val="single" w:color="auto" w:sz="8" w:space="0"/>
            </w:tcBorders>
            <w:shd w:val="clear" w:color="auto" w:fill="auto"/>
            <w:vAlign w:val="center"/>
          </w:tcPr>
          <w:p w14:paraId="3D875FF7">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1011</w:t>
            </w:r>
          </w:p>
        </w:tc>
        <w:tc>
          <w:tcPr>
            <w:tcW w:w="719" w:type="dxa"/>
            <w:tcBorders>
              <w:top w:val="nil"/>
              <w:left w:val="nil"/>
              <w:bottom w:val="single" w:color="auto" w:sz="8" w:space="0"/>
              <w:right w:val="single" w:color="auto" w:sz="8" w:space="0"/>
            </w:tcBorders>
            <w:shd w:val="clear" w:color="auto" w:fill="auto"/>
            <w:vAlign w:val="center"/>
          </w:tcPr>
          <w:p w14:paraId="0D7956D5">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1032</w:t>
            </w:r>
          </w:p>
        </w:tc>
        <w:tc>
          <w:tcPr>
            <w:tcW w:w="719" w:type="dxa"/>
            <w:tcBorders>
              <w:top w:val="nil"/>
              <w:left w:val="nil"/>
              <w:bottom w:val="single" w:color="auto" w:sz="8" w:space="0"/>
              <w:right w:val="single" w:color="auto" w:sz="8" w:space="0"/>
            </w:tcBorders>
            <w:shd w:val="clear" w:color="auto" w:fill="auto"/>
            <w:vAlign w:val="center"/>
          </w:tcPr>
          <w:p w14:paraId="0304E387">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1052</w:t>
            </w:r>
          </w:p>
        </w:tc>
        <w:tc>
          <w:tcPr>
            <w:tcW w:w="720" w:type="dxa"/>
            <w:tcBorders>
              <w:top w:val="nil"/>
              <w:left w:val="nil"/>
              <w:bottom w:val="single" w:color="auto" w:sz="8" w:space="0"/>
              <w:right w:val="single" w:color="auto" w:sz="8" w:space="0"/>
            </w:tcBorders>
            <w:shd w:val="clear" w:color="auto" w:fill="auto"/>
            <w:vAlign w:val="center"/>
          </w:tcPr>
          <w:p w14:paraId="6D9963B8">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1073</w:t>
            </w:r>
          </w:p>
        </w:tc>
        <w:tc>
          <w:tcPr>
            <w:tcW w:w="720" w:type="dxa"/>
            <w:tcBorders>
              <w:top w:val="nil"/>
              <w:left w:val="nil"/>
              <w:bottom w:val="single" w:color="auto" w:sz="8" w:space="0"/>
              <w:right w:val="single" w:color="auto" w:sz="8" w:space="0"/>
            </w:tcBorders>
            <w:shd w:val="clear" w:color="auto" w:fill="auto"/>
            <w:vAlign w:val="center"/>
          </w:tcPr>
          <w:p w14:paraId="30937418">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1095</w:t>
            </w:r>
          </w:p>
        </w:tc>
        <w:tc>
          <w:tcPr>
            <w:tcW w:w="720" w:type="dxa"/>
            <w:tcBorders>
              <w:top w:val="nil"/>
              <w:left w:val="nil"/>
              <w:bottom w:val="single" w:color="auto" w:sz="8" w:space="0"/>
              <w:right w:val="single" w:color="auto" w:sz="8" w:space="0"/>
            </w:tcBorders>
            <w:shd w:val="clear" w:color="auto" w:fill="auto"/>
            <w:vAlign w:val="center"/>
          </w:tcPr>
          <w:p w14:paraId="23D99D01">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1117</w:t>
            </w:r>
          </w:p>
        </w:tc>
        <w:tc>
          <w:tcPr>
            <w:tcW w:w="720" w:type="dxa"/>
            <w:tcBorders>
              <w:top w:val="nil"/>
              <w:left w:val="nil"/>
              <w:bottom w:val="single" w:color="auto" w:sz="8" w:space="0"/>
              <w:right w:val="single" w:color="auto" w:sz="8" w:space="0"/>
            </w:tcBorders>
            <w:shd w:val="clear" w:color="auto" w:fill="auto"/>
            <w:vAlign w:val="center"/>
          </w:tcPr>
          <w:p w14:paraId="6E68F27F">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1139</w:t>
            </w:r>
          </w:p>
        </w:tc>
        <w:tc>
          <w:tcPr>
            <w:tcW w:w="720" w:type="dxa"/>
            <w:tcBorders>
              <w:top w:val="nil"/>
              <w:left w:val="nil"/>
              <w:bottom w:val="single" w:color="auto" w:sz="8" w:space="0"/>
              <w:right w:val="single" w:color="auto" w:sz="8" w:space="0"/>
            </w:tcBorders>
            <w:shd w:val="clear" w:color="auto" w:fill="auto"/>
            <w:vAlign w:val="center"/>
          </w:tcPr>
          <w:p w14:paraId="4B2BE8BF">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1162</w:t>
            </w:r>
          </w:p>
        </w:tc>
        <w:tc>
          <w:tcPr>
            <w:tcW w:w="720" w:type="dxa"/>
            <w:tcBorders>
              <w:top w:val="nil"/>
              <w:left w:val="nil"/>
              <w:bottom w:val="single" w:color="auto" w:sz="8" w:space="0"/>
              <w:right w:val="single" w:color="auto" w:sz="8" w:space="0"/>
            </w:tcBorders>
            <w:shd w:val="clear" w:color="auto" w:fill="auto"/>
            <w:vAlign w:val="center"/>
          </w:tcPr>
          <w:p w14:paraId="6E8CD5E7">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1185</w:t>
            </w:r>
          </w:p>
        </w:tc>
        <w:tc>
          <w:tcPr>
            <w:tcW w:w="871" w:type="dxa"/>
            <w:tcBorders>
              <w:top w:val="nil"/>
              <w:left w:val="nil"/>
              <w:bottom w:val="single" w:color="auto" w:sz="8" w:space="0"/>
              <w:right w:val="single" w:color="auto" w:sz="8" w:space="0"/>
            </w:tcBorders>
            <w:shd w:val="clear" w:color="auto" w:fill="auto"/>
            <w:vAlign w:val="center"/>
          </w:tcPr>
          <w:p w14:paraId="2BF6FC0D">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1197</w:t>
            </w:r>
          </w:p>
        </w:tc>
      </w:tr>
      <w:tr w14:paraId="5DCD62F9">
        <w:tblPrEx>
          <w:tblCellMar>
            <w:top w:w="0" w:type="dxa"/>
            <w:left w:w="108" w:type="dxa"/>
            <w:bottom w:w="0" w:type="dxa"/>
            <w:right w:w="108" w:type="dxa"/>
          </w:tblCellMar>
        </w:tblPrEx>
        <w:trPr>
          <w:trHeight w:val="371" w:hRule="atLeast"/>
          <w:jc w:val="center"/>
        </w:trPr>
        <w:tc>
          <w:tcPr>
            <w:tcW w:w="1108" w:type="dxa"/>
            <w:tcBorders>
              <w:top w:val="nil"/>
              <w:left w:val="single" w:color="auto" w:sz="8" w:space="0"/>
              <w:bottom w:val="single" w:color="auto" w:sz="8" w:space="0"/>
              <w:right w:val="single" w:color="auto" w:sz="8" w:space="0"/>
            </w:tcBorders>
            <w:shd w:val="clear" w:color="auto" w:fill="D0CECE" w:themeFill="background2" w:themeFillShade="E6"/>
            <w:vAlign w:val="center"/>
          </w:tcPr>
          <w:p w14:paraId="7EFC896F">
            <w:pPr>
              <w:widowControl/>
              <w:jc w:val="center"/>
              <w:rPr>
                <w:rFonts w:ascii="仿宋_GB2312" w:hAnsi="仿宋" w:eastAsia="仿宋_GB2312" w:cs="宋体"/>
                <w:color w:val="000000"/>
                <w:kern w:val="0"/>
                <w:sz w:val="22"/>
                <w:szCs w:val="22"/>
              </w:rPr>
            </w:pPr>
            <w:r>
              <w:rPr>
                <w:rFonts w:hint="eastAsia" w:ascii="仿宋_GB2312" w:hAnsi="仿宋" w:eastAsia="仿宋_GB2312" w:cs="宋体"/>
                <w:color w:val="000000"/>
                <w:kern w:val="0"/>
                <w:sz w:val="22"/>
                <w:szCs w:val="22"/>
              </w:rPr>
              <w:t>年份</w:t>
            </w:r>
          </w:p>
        </w:tc>
        <w:tc>
          <w:tcPr>
            <w:tcW w:w="719" w:type="dxa"/>
            <w:tcBorders>
              <w:top w:val="nil"/>
              <w:left w:val="nil"/>
              <w:bottom w:val="single" w:color="auto" w:sz="8" w:space="0"/>
              <w:right w:val="single" w:color="auto" w:sz="8" w:space="0"/>
            </w:tcBorders>
            <w:shd w:val="clear" w:color="auto" w:fill="D0CECE" w:themeFill="background2" w:themeFillShade="E6"/>
            <w:vAlign w:val="center"/>
          </w:tcPr>
          <w:p w14:paraId="39316AAD">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2036</w:t>
            </w:r>
          </w:p>
        </w:tc>
        <w:tc>
          <w:tcPr>
            <w:tcW w:w="719" w:type="dxa"/>
            <w:tcBorders>
              <w:top w:val="nil"/>
              <w:left w:val="nil"/>
              <w:bottom w:val="single" w:color="auto" w:sz="8" w:space="0"/>
              <w:right w:val="single" w:color="auto" w:sz="8" w:space="0"/>
            </w:tcBorders>
            <w:shd w:val="clear" w:color="auto" w:fill="D0CECE" w:themeFill="background2" w:themeFillShade="E6"/>
            <w:vAlign w:val="center"/>
          </w:tcPr>
          <w:p w14:paraId="37D6325C">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2037</w:t>
            </w:r>
          </w:p>
        </w:tc>
        <w:tc>
          <w:tcPr>
            <w:tcW w:w="719" w:type="dxa"/>
            <w:tcBorders>
              <w:top w:val="nil"/>
              <w:left w:val="nil"/>
              <w:bottom w:val="single" w:color="auto" w:sz="8" w:space="0"/>
              <w:right w:val="single" w:color="auto" w:sz="8" w:space="0"/>
            </w:tcBorders>
            <w:shd w:val="clear" w:color="auto" w:fill="D0CECE" w:themeFill="background2" w:themeFillShade="E6"/>
            <w:vAlign w:val="center"/>
          </w:tcPr>
          <w:p w14:paraId="2F56C026">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2038</w:t>
            </w:r>
          </w:p>
        </w:tc>
        <w:tc>
          <w:tcPr>
            <w:tcW w:w="719" w:type="dxa"/>
            <w:tcBorders>
              <w:top w:val="nil"/>
              <w:left w:val="nil"/>
              <w:bottom w:val="single" w:color="auto" w:sz="8" w:space="0"/>
              <w:right w:val="single" w:color="auto" w:sz="8" w:space="0"/>
            </w:tcBorders>
            <w:shd w:val="clear" w:color="auto" w:fill="D0CECE" w:themeFill="background2" w:themeFillShade="E6"/>
            <w:vAlign w:val="center"/>
          </w:tcPr>
          <w:p w14:paraId="2E164BA5">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2039</w:t>
            </w:r>
          </w:p>
        </w:tc>
        <w:tc>
          <w:tcPr>
            <w:tcW w:w="720" w:type="dxa"/>
            <w:tcBorders>
              <w:top w:val="nil"/>
              <w:left w:val="nil"/>
              <w:bottom w:val="single" w:color="auto" w:sz="8" w:space="0"/>
              <w:right w:val="single" w:color="auto" w:sz="8" w:space="0"/>
            </w:tcBorders>
            <w:shd w:val="clear" w:color="auto" w:fill="D0CECE" w:themeFill="background2" w:themeFillShade="E6"/>
            <w:vAlign w:val="center"/>
          </w:tcPr>
          <w:p w14:paraId="2860CA9D">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2040</w:t>
            </w:r>
          </w:p>
        </w:tc>
        <w:tc>
          <w:tcPr>
            <w:tcW w:w="720" w:type="dxa"/>
            <w:tcBorders>
              <w:top w:val="nil"/>
              <w:left w:val="nil"/>
              <w:bottom w:val="single" w:color="auto" w:sz="8" w:space="0"/>
              <w:right w:val="single" w:color="auto" w:sz="8" w:space="0"/>
            </w:tcBorders>
            <w:shd w:val="clear" w:color="auto" w:fill="D0CECE" w:themeFill="background2" w:themeFillShade="E6"/>
            <w:vAlign w:val="center"/>
          </w:tcPr>
          <w:p w14:paraId="2449C26D">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2041</w:t>
            </w:r>
          </w:p>
        </w:tc>
        <w:tc>
          <w:tcPr>
            <w:tcW w:w="720" w:type="dxa"/>
            <w:tcBorders>
              <w:top w:val="nil"/>
              <w:left w:val="nil"/>
              <w:bottom w:val="single" w:color="auto" w:sz="8" w:space="0"/>
              <w:right w:val="single" w:color="auto" w:sz="8" w:space="0"/>
            </w:tcBorders>
            <w:shd w:val="clear" w:color="auto" w:fill="D0CECE" w:themeFill="background2" w:themeFillShade="E6"/>
            <w:vAlign w:val="center"/>
          </w:tcPr>
          <w:p w14:paraId="3CB49DD3">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2042</w:t>
            </w:r>
          </w:p>
        </w:tc>
        <w:tc>
          <w:tcPr>
            <w:tcW w:w="720" w:type="dxa"/>
            <w:tcBorders>
              <w:top w:val="nil"/>
              <w:left w:val="nil"/>
              <w:bottom w:val="single" w:color="auto" w:sz="8" w:space="0"/>
              <w:right w:val="single" w:color="auto" w:sz="8" w:space="0"/>
            </w:tcBorders>
            <w:shd w:val="clear" w:color="auto" w:fill="D0CECE" w:themeFill="background2" w:themeFillShade="E6"/>
            <w:vAlign w:val="center"/>
          </w:tcPr>
          <w:p w14:paraId="78177367">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2043</w:t>
            </w:r>
          </w:p>
        </w:tc>
        <w:tc>
          <w:tcPr>
            <w:tcW w:w="720" w:type="dxa"/>
            <w:tcBorders>
              <w:top w:val="nil"/>
              <w:left w:val="nil"/>
              <w:bottom w:val="single" w:color="auto" w:sz="8" w:space="0"/>
              <w:right w:val="single" w:color="auto" w:sz="8" w:space="0"/>
            </w:tcBorders>
            <w:shd w:val="clear" w:color="auto" w:fill="D0CECE" w:themeFill="background2" w:themeFillShade="E6"/>
            <w:vAlign w:val="center"/>
          </w:tcPr>
          <w:p w14:paraId="36B328C2">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2044</w:t>
            </w:r>
          </w:p>
        </w:tc>
        <w:tc>
          <w:tcPr>
            <w:tcW w:w="720" w:type="dxa"/>
            <w:tcBorders>
              <w:top w:val="nil"/>
              <w:left w:val="nil"/>
              <w:bottom w:val="single" w:color="auto" w:sz="8" w:space="0"/>
              <w:right w:val="single" w:color="auto" w:sz="8" w:space="0"/>
            </w:tcBorders>
            <w:shd w:val="clear" w:color="auto" w:fill="D0CECE" w:themeFill="background2" w:themeFillShade="E6"/>
            <w:vAlign w:val="center"/>
          </w:tcPr>
          <w:p w14:paraId="122F7B83">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2045</w:t>
            </w:r>
          </w:p>
        </w:tc>
        <w:tc>
          <w:tcPr>
            <w:tcW w:w="871" w:type="dxa"/>
            <w:tcBorders>
              <w:top w:val="nil"/>
              <w:left w:val="nil"/>
              <w:bottom w:val="single" w:color="auto" w:sz="8" w:space="0"/>
              <w:right w:val="single" w:color="auto" w:sz="8" w:space="0"/>
            </w:tcBorders>
            <w:shd w:val="clear" w:color="auto" w:fill="D0CECE" w:themeFill="background2" w:themeFillShade="E6"/>
            <w:vAlign w:val="center"/>
          </w:tcPr>
          <w:p w14:paraId="68EF5BD8">
            <w:pPr>
              <w:widowControl/>
              <w:jc w:val="center"/>
              <w:rPr>
                <w:rFonts w:ascii="仿宋_GB2312" w:hAnsi="Times New Roman Regular" w:eastAsia="仿宋_GB2312" w:cs="Times New Roman Regular"/>
                <w:color w:val="000000"/>
                <w:sz w:val="22"/>
                <w:szCs w:val="22"/>
              </w:rPr>
            </w:pPr>
            <w:r>
              <w:rPr>
                <w:rFonts w:hint="eastAsia" w:ascii="仿宋_GB2312" w:hAnsi="Times New Roman Regular" w:eastAsia="仿宋_GB2312" w:cs="Times New Roman Regular"/>
                <w:color w:val="000000"/>
                <w:sz w:val="22"/>
                <w:szCs w:val="22"/>
              </w:rPr>
              <w:t>2046-</w:t>
            </w:r>
          </w:p>
          <w:p w14:paraId="42A20CAF">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2054</w:t>
            </w:r>
          </w:p>
        </w:tc>
      </w:tr>
      <w:tr w14:paraId="0A2AE3E2">
        <w:tblPrEx>
          <w:tblCellMar>
            <w:top w:w="0" w:type="dxa"/>
            <w:left w:w="108" w:type="dxa"/>
            <w:bottom w:w="0" w:type="dxa"/>
            <w:right w:w="108" w:type="dxa"/>
          </w:tblCellMar>
        </w:tblPrEx>
        <w:trPr>
          <w:trHeight w:val="364" w:hRule="atLeast"/>
          <w:jc w:val="center"/>
        </w:trPr>
        <w:tc>
          <w:tcPr>
            <w:tcW w:w="1108" w:type="dxa"/>
            <w:tcBorders>
              <w:top w:val="nil"/>
              <w:left w:val="single" w:color="auto" w:sz="8" w:space="0"/>
              <w:bottom w:val="single" w:color="auto" w:sz="8" w:space="0"/>
              <w:right w:val="single" w:color="auto" w:sz="8" w:space="0"/>
            </w:tcBorders>
            <w:shd w:val="clear" w:color="auto" w:fill="auto"/>
            <w:vAlign w:val="center"/>
          </w:tcPr>
          <w:p w14:paraId="2B5ADCA6">
            <w:pPr>
              <w:widowControl/>
              <w:jc w:val="center"/>
              <w:rPr>
                <w:rFonts w:ascii="仿宋_GB2312" w:hAnsi="仿宋" w:eastAsia="仿宋_GB2312" w:cs="宋体"/>
                <w:color w:val="000000"/>
                <w:kern w:val="0"/>
                <w:sz w:val="22"/>
                <w:szCs w:val="22"/>
              </w:rPr>
            </w:pPr>
            <w:r>
              <w:rPr>
                <w:rFonts w:hint="eastAsia" w:ascii="仿宋_GB2312" w:hAnsi="仿宋" w:eastAsia="仿宋_GB2312" w:cs="宋体"/>
                <w:color w:val="000000"/>
                <w:kern w:val="0"/>
                <w:sz w:val="22"/>
                <w:szCs w:val="22"/>
              </w:rPr>
              <w:t>污水处理费收入(万元)</w:t>
            </w:r>
          </w:p>
        </w:tc>
        <w:tc>
          <w:tcPr>
            <w:tcW w:w="719" w:type="dxa"/>
            <w:tcBorders>
              <w:top w:val="nil"/>
              <w:left w:val="nil"/>
              <w:bottom w:val="single" w:color="auto" w:sz="8" w:space="0"/>
              <w:right w:val="single" w:color="auto" w:sz="8" w:space="0"/>
            </w:tcBorders>
            <w:shd w:val="clear" w:color="auto" w:fill="auto"/>
            <w:vAlign w:val="center"/>
          </w:tcPr>
          <w:p w14:paraId="57CF9F40">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1451</w:t>
            </w:r>
          </w:p>
        </w:tc>
        <w:tc>
          <w:tcPr>
            <w:tcW w:w="719" w:type="dxa"/>
            <w:tcBorders>
              <w:top w:val="nil"/>
              <w:left w:val="nil"/>
              <w:bottom w:val="single" w:color="auto" w:sz="8" w:space="0"/>
              <w:right w:val="single" w:color="auto" w:sz="8" w:space="0"/>
            </w:tcBorders>
            <w:shd w:val="clear" w:color="auto" w:fill="auto"/>
            <w:vAlign w:val="center"/>
          </w:tcPr>
          <w:p w14:paraId="531D3703">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1465</w:t>
            </w:r>
          </w:p>
        </w:tc>
        <w:tc>
          <w:tcPr>
            <w:tcW w:w="719" w:type="dxa"/>
            <w:tcBorders>
              <w:top w:val="nil"/>
              <w:left w:val="nil"/>
              <w:bottom w:val="single" w:color="auto" w:sz="8" w:space="0"/>
              <w:right w:val="single" w:color="auto" w:sz="8" w:space="0"/>
            </w:tcBorders>
            <w:shd w:val="clear" w:color="auto" w:fill="auto"/>
            <w:vAlign w:val="center"/>
          </w:tcPr>
          <w:p w14:paraId="22D442FC">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1480</w:t>
            </w:r>
          </w:p>
        </w:tc>
        <w:tc>
          <w:tcPr>
            <w:tcW w:w="719" w:type="dxa"/>
            <w:tcBorders>
              <w:top w:val="nil"/>
              <w:left w:val="nil"/>
              <w:bottom w:val="single" w:color="auto" w:sz="8" w:space="0"/>
              <w:right w:val="single" w:color="auto" w:sz="8" w:space="0"/>
            </w:tcBorders>
            <w:shd w:val="clear" w:color="auto" w:fill="auto"/>
            <w:vAlign w:val="center"/>
          </w:tcPr>
          <w:p w14:paraId="441A8FAB">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1495</w:t>
            </w:r>
          </w:p>
        </w:tc>
        <w:tc>
          <w:tcPr>
            <w:tcW w:w="720" w:type="dxa"/>
            <w:tcBorders>
              <w:top w:val="nil"/>
              <w:left w:val="nil"/>
              <w:bottom w:val="single" w:color="auto" w:sz="8" w:space="0"/>
              <w:right w:val="single" w:color="auto" w:sz="8" w:space="0"/>
            </w:tcBorders>
            <w:shd w:val="clear" w:color="auto" w:fill="auto"/>
            <w:vAlign w:val="center"/>
          </w:tcPr>
          <w:p w14:paraId="4A066FF5">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1509</w:t>
            </w:r>
          </w:p>
        </w:tc>
        <w:tc>
          <w:tcPr>
            <w:tcW w:w="720" w:type="dxa"/>
            <w:tcBorders>
              <w:top w:val="nil"/>
              <w:left w:val="nil"/>
              <w:bottom w:val="single" w:color="auto" w:sz="8" w:space="0"/>
              <w:right w:val="single" w:color="auto" w:sz="8" w:space="0"/>
            </w:tcBorders>
            <w:shd w:val="clear" w:color="auto" w:fill="auto"/>
            <w:vAlign w:val="center"/>
          </w:tcPr>
          <w:p w14:paraId="7401E5DD">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1525</w:t>
            </w:r>
          </w:p>
        </w:tc>
        <w:tc>
          <w:tcPr>
            <w:tcW w:w="720" w:type="dxa"/>
            <w:tcBorders>
              <w:top w:val="nil"/>
              <w:left w:val="nil"/>
              <w:bottom w:val="single" w:color="auto" w:sz="8" w:space="0"/>
              <w:right w:val="single" w:color="auto" w:sz="8" w:space="0"/>
            </w:tcBorders>
            <w:shd w:val="clear" w:color="auto" w:fill="auto"/>
            <w:vAlign w:val="center"/>
          </w:tcPr>
          <w:p w14:paraId="07DC43A7">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1540</w:t>
            </w:r>
          </w:p>
        </w:tc>
        <w:tc>
          <w:tcPr>
            <w:tcW w:w="720" w:type="dxa"/>
            <w:tcBorders>
              <w:top w:val="nil"/>
              <w:left w:val="nil"/>
              <w:bottom w:val="single" w:color="auto" w:sz="8" w:space="0"/>
              <w:right w:val="single" w:color="auto" w:sz="8" w:space="0"/>
            </w:tcBorders>
            <w:shd w:val="clear" w:color="auto" w:fill="auto"/>
            <w:vAlign w:val="center"/>
          </w:tcPr>
          <w:p w14:paraId="281C1498">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1555</w:t>
            </w:r>
          </w:p>
        </w:tc>
        <w:tc>
          <w:tcPr>
            <w:tcW w:w="720" w:type="dxa"/>
            <w:tcBorders>
              <w:top w:val="nil"/>
              <w:left w:val="nil"/>
              <w:bottom w:val="single" w:color="auto" w:sz="8" w:space="0"/>
              <w:right w:val="single" w:color="auto" w:sz="8" w:space="0"/>
            </w:tcBorders>
            <w:shd w:val="clear" w:color="auto" w:fill="auto"/>
            <w:vAlign w:val="center"/>
          </w:tcPr>
          <w:p w14:paraId="584EC42A">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1571</w:t>
            </w:r>
          </w:p>
        </w:tc>
        <w:tc>
          <w:tcPr>
            <w:tcW w:w="720" w:type="dxa"/>
            <w:tcBorders>
              <w:top w:val="nil"/>
              <w:left w:val="nil"/>
              <w:bottom w:val="single" w:color="auto" w:sz="8" w:space="0"/>
              <w:right w:val="single" w:color="auto" w:sz="8" w:space="0"/>
            </w:tcBorders>
            <w:shd w:val="clear" w:color="auto" w:fill="auto"/>
            <w:vAlign w:val="center"/>
          </w:tcPr>
          <w:p w14:paraId="60C85AE5">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1571</w:t>
            </w:r>
          </w:p>
        </w:tc>
        <w:tc>
          <w:tcPr>
            <w:tcW w:w="871" w:type="dxa"/>
            <w:tcBorders>
              <w:top w:val="nil"/>
              <w:left w:val="nil"/>
              <w:bottom w:val="single" w:color="auto" w:sz="8" w:space="0"/>
              <w:right w:val="single" w:color="auto" w:sz="8" w:space="0"/>
            </w:tcBorders>
            <w:shd w:val="clear" w:color="auto" w:fill="auto"/>
            <w:vAlign w:val="center"/>
          </w:tcPr>
          <w:p w14:paraId="0153E2A7">
            <w:pPr>
              <w:widowControl/>
              <w:jc w:val="center"/>
              <w:rPr>
                <w:rFonts w:ascii="仿宋_GB2312" w:hAnsi="Times New Roman Regular" w:eastAsia="仿宋_GB2312" w:cs="Times New Roman Regular"/>
                <w:color w:val="000000"/>
                <w:kern w:val="0"/>
                <w:sz w:val="22"/>
                <w:szCs w:val="22"/>
              </w:rPr>
            </w:pPr>
            <w:r>
              <w:rPr>
                <w:rFonts w:hint="eastAsia" w:ascii="仿宋_GB2312" w:hAnsi="Times New Roman Regular" w:eastAsia="仿宋_GB2312" w:cs="Times New Roman Regular"/>
                <w:color w:val="000000"/>
                <w:sz w:val="22"/>
                <w:szCs w:val="22"/>
              </w:rPr>
              <w:t>1885</w:t>
            </w:r>
          </w:p>
        </w:tc>
      </w:tr>
    </w:tbl>
    <w:p w14:paraId="389E2831">
      <w:pPr>
        <w:pStyle w:val="17"/>
        <w:widowControl/>
        <w:shd w:val="clear" w:color="auto" w:fill="FFFFFF"/>
        <w:spacing w:beforeAutospacing="0" w:afterAutospacing="0"/>
        <w:ind w:firstLine="560" w:firstLineChars="200"/>
        <w:jc w:val="center"/>
        <w:rPr>
          <w:rFonts w:ascii="Times New Roman Regular" w:hAnsi="Times New Roman Regular" w:eastAsia="仿宋" w:cs="Times New Roman Regular"/>
          <w:color w:val="000000" w:themeColor="text1"/>
          <w:sz w:val="28"/>
          <w:szCs w:val="28"/>
          <w14:textFill>
            <w14:solidFill>
              <w14:schemeClr w14:val="tx1"/>
            </w14:solidFill>
          </w14:textFill>
        </w:rPr>
      </w:pPr>
    </w:p>
    <w:p w14:paraId="1B821251">
      <w:pPr>
        <w:pStyle w:val="5"/>
      </w:pPr>
      <w:bookmarkStart w:id="82" w:name="_Toc5978"/>
      <w:r>
        <w:t>7、财政运营补贴政策</w:t>
      </w:r>
      <w:bookmarkEnd w:id="82"/>
    </w:p>
    <w:p w14:paraId="7EA0119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83" w:name="_Toc17196"/>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w:t>
      </w:r>
      <w:r>
        <w:rPr>
          <w:rFonts w:ascii="Times New Roman Regular" w:hAnsi="Times New Roman Regular" w:eastAsia="仿宋_GB2312" w:cs="Times New Roman Regular"/>
          <w:color w:val="000000" w:themeColor="text1"/>
          <w:sz w:val="28"/>
          <w:szCs w:val="28"/>
          <w14:textFill>
            <w14:solidFill>
              <w14:schemeClr w14:val="tx1"/>
            </w14:solidFill>
          </w14:textFill>
        </w:rPr>
        <w:t>《城镇排水与</w:t>
      </w:r>
      <w:r>
        <w:fldChar w:fldCharType="begin"/>
      </w:r>
      <w:r>
        <w:instrText xml:space="preserve"> HYPERLINK "https://baike.baidu.com/item/%E6%B1%A1%E6%B0%B4/0?fromModule=lemma_inlink" \t "_blank" </w:instrText>
      </w:r>
      <w:r>
        <w:fldChar w:fldCharType="separate"/>
      </w:r>
      <w:r>
        <w:rPr>
          <w:rFonts w:ascii="Times New Roman Regular" w:hAnsi="Times New Roman Regular" w:eastAsia="仿宋_GB2312" w:cs="Times New Roman Regular"/>
          <w:color w:val="000000" w:themeColor="text1"/>
          <w:sz w:val="28"/>
          <w:szCs w:val="28"/>
          <w14:textFill>
            <w14:solidFill>
              <w14:schemeClr w14:val="tx1"/>
            </w14:solidFill>
          </w14:textFill>
        </w:rPr>
        <w:t>污水</w:t>
      </w:r>
      <w:r>
        <w:rPr>
          <w:rFonts w:ascii="Times New Roman Regular" w:hAnsi="Times New Roman Regular" w:eastAsia="仿宋_GB2312" w:cs="Times New Roman Regular"/>
          <w:color w:val="000000" w:themeColor="text1"/>
          <w:sz w:val="28"/>
          <w:szCs w:val="28"/>
          <w14:textFill>
            <w14:solidFill>
              <w14:schemeClr w14:val="tx1"/>
            </w14:solidFill>
          </w14:textFill>
        </w:rPr>
        <w:fldChar w:fldCharType="end"/>
      </w:r>
      <w:r>
        <w:fldChar w:fldCharType="begin"/>
      </w:r>
      <w:r>
        <w:instrText xml:space="preserve"> HYPERLINK "https://baike.baidu.com/item/%E5%A4%84%E7%90%86/0?fromModule=lemma_inlink" \t "_blank" </w:instrText>
      </w:r>
      <w:r>
        <w:fldChar w:fldCharType="separate"/>
      </w:r>
      <w:r>
        <w:rPr>
          <w:rFonts w:ascii="Times New Roman Regular" w:hAnsi="Times New Roman Regular" w:eastAsia="仿宋_GB2312" w:cs="Times New Roman Regular"/>
          <w:color w:val="000000" w:themeColor="text1"/>
          <w:sz w:val="28"/>
          <w:szCs w:val="28"/>
          <w14:textFill>
            <w14:solidFill>
              <w14:schemeClr w14:val="tx1"/>
            </w14:solidFill>
          </w14:textFill>
        </w:rPr>
        <w:t>处理</w:t>
      </w:r>
      <w:r>
        <w:rPr>
          <w:rFonts w:ascii="Times New Roman Regular" w:hAnsi="Times New Roman Regular" w:eastAsia="仿宋_GB2312" w:cs="Times New Roman Regular"/>
          <w:color w:val="000000" w:themeColor="text1"/>
          <w:sz w:val="28"/>
          <w:szCs w:val="28"/>
          <w14:textFill>
            <w14:solidFill>
              <w14:schemeClr w14:val="tx1"/>
            </w14:solidFill>
          </w14:textFill>
        </w:rPr>
        <w:fldChar w:fldCharType="end"/>
      </w:r>
      <w:r>
        <w:fldChar w:fldCharType="begin"/>
      </w:r>
      <w:r>
        <w:instrText xml:space="preserve"> HYPERLINK "https://baike.baidu.com/item/%E6%9D%A1%E4%BE%8B/0?fromModule=lemma_inlink" \t "_blank" </w:instrText>
      </w:r>
      <w:r>
        <w:fldChar w:fldCharType="separate"/>
      </w:r>
      <w:r>
        <w:rPr>
          <w:rFonts w:ascii="Times New Roman Regular" w:hAnsi="Times New Roman Regular" w:eastAsia="仿宋_GB2312" w:cs="Times New Roman Regular"/>
          <w:color w:val="000000" w:themeColor="text1"/>
          <w:sz w:val="28"/>
          <w:szCs w:val="28"/>
          <w14:textFill>
            <w14:solidFill>
              <w14:schemeClr w14:val="tx1"/>
            </w14:solidFill>
          </w14:textFill>
        </w:rPr>
        <w:t>条例</w:t>
      </w:r>
      <w:r>
        <w:rPr>
          <w:rFonts w:ascii="Times New Roman Regular" w:hAnsi="Times New Roman Regular" w:eastAsia="仿宋_GB2312" w:cs="Times New Roman Regular"/>
          <w:color w:val="000000" w:themeColor="text1"/>
          <w:sz w:val="28"/>
          <w:szCs w:val="28"/>
          <w14:textFill>
            <w14:solidFill>
              <w14:schemeClr w14:val="tx1"/>
            </w14:solidFill>
          </w14:textFill>
        </w:rPr>
        <w:fldChar w:fldCharType="end"/>
      </w:r>
      <w:r>
        <w:rPr>
          <w:rFonts w:ascii="Times New Roman Regular" w:hAnsi="Times New Roman Regular" w:eastAsia="仿宋_GB2312" w:cs="Times New Roman Regular"/>
          <w:color w:val="000000" w:themeColor="text1"/>
          <w:sz w:val="28"/>
          <w:szCs w:val="28"/>
          <w14:textFill>
            <w14:solidFill>
              <w14:schemeClr w14:val="tx1"/>
            </w14:solidFill>
          </w14:textFill>
        </w:rPr>
        <w:t>》</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第三十三条 污水处理费应当纳入地方</w:t>
      </w:r>
      <w:r>
        <w:fldChar w:fldCharType="begin"/>
      </w:r>
      <w:r>
        <w:instrText xml:space="preserve"> HYPERLINK "https://baike.baidu.com/item/%E8%B4%A2%E6%94%BF%E9%A2%84%E7%AE%97%E7%AE%A1%E7%90%86/275264?fromModule=lemma_inlink" \t "_blank" </w:instrText>
      </w:r>
      <w:r>
        <w:fldChar w:fldCharType="separate"/>
      </w:r>
      <w:r>
        <w:rPr>
          <w:rFonts w:ascii="Times New Roman Regular" w:hAnsi="Times New Roman Regular" w:eastAsia="仿宋_GB2312" w:cs="Times New Roman Regular"/>
          <w:color w:val="000000" w:themeColor="text1"/>
          <w:sz w:val="28"/>
          <w:szCs w:val="28"/>
          <w14:textFill>
            <w14:solidFill>
              <w14:schemeClr w14:val="tx1"/>
            </w14:solidFill>
          </w14:textFill>
        </w:rPr>
        <w:t>财政预算管理</w:t>
      </w:r>
      <w:r>
        <w:rPr>
          <w:rFonts w:ascii="Times New Roman Regular" w:hAnsi="Times New Roman Regular" w:eastAsia="仿宋_GB2312" w:cs="Times New Roman Regular"/>
          <w:color w:val="000000" w:themeColor="text1"/>
          <w:sz w:val="28"/>
          <w:szCs w:val="28"/>
          <w14:textFill>
            <w14:solidFill>
              <w14:schemeClr w14:val="tx1"/>
            </w14:solidFill>
          </w14:textFill>
        </w:rPr>
        <w:fldChar w:fldCharType="end"/>
      </w:r>
      <w:r>
        <w:rPr>
          <w:rFonts w:ascii="Times New Roman Regular" w:hAnsi="Times New Roman Regular" w:eastAsia="仿宋_GB2312" w:cs="Times New Roman Regular"/>
          <w:color w:val="000000" w:themeColor="text1"/>
          <w:sz w:val="28"/>
          <w:szCs w:val="28"/>
          <w14:textFill>
            <w14:solidFill>
              <w14:schemeClr w14:val="tx1"/>
            </w14:solidFill>
          </w14:textFill>
        </w:rPr>
        <w:t>，专项用于城镇污水处理设施的建设、运行和污泥处理处置，不得挪作他用。污水处理费的收费标准不应低于城镇污水处理设施正常运营的成本。因特殊原因，收取的污水处理费不足以支付城镇污水处理设施正常运营的成本的，地方人民政府给予补贴。</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p>
    <w:p w14:paraId="352C60F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根据《关于进一步推进农村生活污水治理的指导意见》（环办土壤〔2023〕24号）“鼓励县级人民政府将设施运维经费列入财政预算予以保障。”根据</w:t>
      </w:r>
      <w:r>
        <w:rPr>
          <w:rFonts w:ascii="Times New Roman Regular" w:hAnsi="Times New Roman Regular" w:eastAsia="仿宋_GB2312" w:cs="Times New Roman Regular"/>
          <w:color w:val="000000" w:themeColor="text1"/>
          <w:sz w:val="28"/>
          <w:szCs w:val="28"/>
          <w14:textFill>
            <w14:solidFill>
              <w14:schemeClr w14:val="tx1"/>
            </w14:solidFill>
          </w14:textFill>
        </w:rPr>
        <w:t>财政部印发《污水处理费征收使用管理办法》</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（财税[2014]151号）“第二十二条 征收的污水处理费不能保障城镇排水与污水处理设施正常运营的，地方财政应当给予补贴。”</w:t>
      </w:r>
    </w:p>
    <w:p w14:paraId="0290426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根据本项目财务测算，以及所属镇区污水处理费收入估算情况，不考虑项目招标时报价下浮情况，只有在2</w:t>
      </w:r>
      <w:r>
        <w:rPr>
          <w:rFonts w:ascii="Times New Roman Regular" w:hAnsi="Times New Roman Regular" w:eastAsia="仿宋_GB2312" w:cs="Times New Roman Regular"/>
          <w:color w:val="000000" w:themeColor="text1"/>
          <w:sz w:val="28"/>
          <w:szCs w:val="28"/>
          <w14:textFill>
            <w14:solidFill>
              <w14:schemeClr w14:val="tx1"/>
            </w14:solidFill>
          </w14:textFill>
        </w:rPr>
        <w:t>025</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年污水处理费收入不能完全覆盖本项目服务费，缺口约9</w:t>
      </w:r>
      <w:r>
        <w:rPr>
          <w:rFonts w:ascii="Times New Roman Regular" w:hAnsi="Times New Roman Regular" w:eastAsia="仿宋_GB2312" w:cs="Times New Roman Regular"/>
          <w:color w:val="000000" w:themeColor="text1"/>
          <w:sz w:val="28"/>
          <w:szCs w:val="28"/>
          <w14:textFill>
            <w14:solidFill>
              <w14:schemeClr w14:val="tx1"/>
            </w14:solidFill>
          </w14:textFill>
        </w:rPr>
        <w:t>2</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万元，需要财政进行运营补贴，，此后年份污水处理费收入完全覆盖本项目服务费。若中标价在此基础上下浮1</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以上，则无需财政补贴。</w:t>
      </w:r>
    </w:p>
    <w:p w14:paraId="31AB2C5C">
      <w:pPr>
        <w:pStyle w:val="5"/>
      </w:pPr>
      <w:r>
        <w:t>8、项目定价机制和调价机制</w:t>
      </w:r>
      <w:bookmarkEnd w:id="83"/>
    </w:p>
    <w:p w14:paraId="0444622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84" w:name="_Toc17899"/>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本项目为污水处理项目，根据国家相关规定，</w:t>
      </w:r>
      <w:r>
        <w:rPr>
          <w:rFonts w:ascii="Times New Roman Regular" w:hAnsi="Times New Roman Regular" w:eastAsia="仿宋_GB2312" w:cs="Times New Roman Regular"/>
          <w:color w:val="000000" w:themeColor="text1"/>
          <w:sz w:val="28"/>
          <w:szCs w:val="28"/>
          <w14:textFill>
            <w14:solidFill>
              <w14:schemeClr w14:val="tx1"/>
            </w14:solidFill>
          </w14:textFill>
        </w:rPr>
        <w:t>污水处理费属于政府非税收入，全额上缴地方国库，纳入地方政府性基金预算管理，实行专款专用</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而征收的污水处理费不能保障城镇排水与污水处理设施正常运营的，地方财政应当给予补贴。因此，污水处理项目为收支两条线。政府向居民或企业收取的污水处理费标准应按照“污染付费、公平负担、补偿成本、合理盈利”的原则，综合考虑本地区水污染防治形势和经济社会承受能力等因素制定和调整。各地制定和调整污水处理收费标准，应依法履行污水处理企业成本监审、专家论证、集体审议等定价程序，确保政府制定污水处理收费标准的科学性、公正性和透明度，广泛接受社会监督，保护消费者和经营者的合法权益。</w:t>
      </w:r>
    </w:p>
    <w:p w14:paraId="183C9E8F">
      <w:pPr>
        <w:widowControl/>
        <w:shd w:val="clear" w:color="auto" w:fill="FFFFFF"/>
        <w:spacing w:line="360" w:lineRule="atLeast"/>
        <w:ind w:firstLine="480"/>
        <w:jc w:val="left"/>
        <w:rPr>
          <w:rFonts w:ascii="Times New Roman Regular" w:hAnsi="Times New Roman Regular" w:eastAsia="仿宋_GB2312" w:cs="Times New Roman Regular"/>
          <w:color w:val="000000" w:themeColor="text1"/>
          <w:kern w:val="0"/>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本项目采用特许经营模式，政府应统筹使用</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缴入国库的污水处理费与地方财政补贴资金</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，按照合同约定</w:t>
      </w:r>
      <w:r>
        <w:rPr>
          <w:rFonts w:ascii="Times New Roman Regular" w:hAnsi="Times New Roman Regular" w:eastAsia="仿宋_GB2312" w:cs="Times New Roman Regular"/>
          <w:color w:val="000000" w:themeColor="text1"/>
          <w:kern w:val="0"/>
          <w:sz w:val="28"/>
          <w:szCs w:val="28"/>
          <w14:textFill>
            <w14:solidFill>
              <w14:schemeClr w14:val="tx1"/>
            </w14:solidFill>
          </w14:textFill>
        </w:rPr>
        <w:t>向提供污水处理服务的单位支付服务费。</w:t>
      </w:r>
      <w:r>
        <w:rPr>
          <w:rFonts w:hint="eastAsia" w:ascii="Times New Roman Regular" w:hAnsi="Times New Roman Regular" w:eastAsia="仿宋_GB2312" w:cs="Times New Roman Regular"/>
          <w:color w:val="000000" w:themeColor="text1"/>
          <w:kern w:val="0"/>
          <w:sz w:val="28"/>
          <w:szCs w:val="28"/>
          <w14:textFill>
            <w14:solidFill>
              <w14:schemeClr w14:val="tx1"/>
            </w14:solidFill>
          </w14:textFill>
        </w:rPr>
        <w:t>考虑到合作期限较长，期间可能因为通货膨胀、标准提升等引起经营成本的较大变化，设置如下服务费调整机制：</w:t>
      </w:r>
    </w:p>
    <w:p w14:paraId="0ED1848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（1）调价启动</w:t>
      </w:r>
      <w:bookmarkEnd w:id="84"/>
    </w:p>
    <w:p w14:paraId="16D56D2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85" w:name="_Toc9468"/>
      <w:r>
        <w:rPr>
          <w:rFonts w:ascii="Times New Roman Regular" w:hAnsi="Times New Roman Regular" w:eastAsia="仿宋_GB2312" w:cs="Times New Roman Regular"/>
          <w:color w:val="000000" w:themeColor="text1"/>
          <w:sz w:val="28"/>
          <w:szCs w:val="28"/>
          <w14:textFill>
            <w14:solidFill>
              <w14:schemeClr w14:val="tx1"/>
            </w14:solidFill>
          </w14:textFill>
        </w:rPr>
        <w:t>本项目</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年度服务费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调整每满3年定期进行一次，调价日为第3</w:t>
      </w:r>
      <w:r>
        <w:rPr>
          <w:rFonts w:ascii="Times New Roman Regular" w:hAnsi="Times New Roman Regular" w:eastAsia="仿宋_GB2312" w:cs="Times New Roman Regular"/>
          <w:color w:val="000000" w:themeColor="text1"/>
          <w:sz w:val="28"/>
          <w:szCs w:val="28"/>
          <w:vertAlign w:val="subscript"/>
          <w14:textFill>
            <w14:solidFill>
              <w14:schemeClr w14:val="tx1"/>
            </w14:solidFill>
          </w14:textFill>
        </w:rPr>
        <w:t>n+1</w:t>
      </w:r>
      <w:r>
        <w:rPr>
          <w:rFonts w:ascii="Times New Roman Regular" w:hAnsi="Times New Roman Regular" w:eastAsia="仿宋_GB2312" w:cs="Times New Roman Regular"/>
          <w:color w:val="000000" w:themeColor="text1"/>
          <w:sz w:val="28"/>
          <w:szCs w:val="28"/>
          <w14:textFill>
            <w14:solidFill>
              <w14:schemeClr w14:val="tx1"/>
            </w14:solidFill>
          </w14:textFill>
        </w:rPr>
        <w:t>个运营年的第一个运营日（n为自然数，从1开始取值,为调价次数）。双方按照调价公式对</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年度服务费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进行调整，且下一个调价日到达之前，</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年度服务费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维持上一次确定的</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金额</w:t>
      </w:r>
      <w:r>
        <w:rPr>
          <w:rFonts w:ascii="Times New Roman Regular" w:hAnsi="Times New Roman Regular" w:eastAsia="仿宋_GB2312" w:cs="Times New Roman Regular"/>
          <w:color w:val="000000" w:themeColor="text1"/>
          <w:sz w:val="28"/>
          <w:szCs w:val="28"/>
          <w14:textFill>
            <w14:solidFill>
              <w14:schemeClr w14:val="tx1"/>
            </w14:solidFill>
          </w14:textFill>
        </w:rPr>
        <w:t>不变。</w:t>
      </w:r>
      <w:bookmarkEnd w:id="85"/>
      <w:r>
        <w:rPr>
          <w:rFonts w:ascii="Times New Roman Regular" w:hAnsi="Times New Roman Regular" w:eastAsia="仿宋_GB2312" w:cs="Times New Roman Regular"/>
          <w:color w:val="000000" w:themeColor="text1"/>
          <w:sz w:val="28"/>
          <w:szCs w:val="28"/>
          <w14:textFill>
            <w14:solidFill>
              <w14:schemeClr w14:val="tx1"/>
            </w14:solidFill>
          </w14:textFill>
        </w:rPr>
        <w:t xml:space="preserve"> </w:t>
      </w:r>
    </w:p>
    <w:p w14:paraId="14CA648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86" w:name="_Toc9227"/>
      <w:r>
        <w:rPr>
          <w:rFonts w:ascii="Times New Roman Regular" w:hAnsi="Times New Roman Regular" w:eastAsia="仿宋_GB2312" w:cs="Times New Roman Regular"/>
          <w:color w:val="000000" w:themeColor="text1"/>
          <w:sz w:val="28"/>
          <w:szCs w:val="28"/>
          <w14:textFill>
            <w14:solidFill>
              <w14:schemeClr w14:val="tx1"/>
            </w14:solidFill>
          </w14:textFill>
        </w:rPr>
        <w:t>特许经营权合作方应提前向实施机构提出调价书面申请；实施机构收到书面申请后，开始评审调价申请，如无异议，由其报送相关主管部门审批。在主管部门审批通过与调整价格确定后，于调价日正式生效。</w:t>
      </w:r>
      <w:bookmarkEnd w:id="86"/>
    </w:p>
    <w:p w14:paraId="337ED78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87" w:name="_Toc7044"/>
      <w:r>
        <w:rPr>
          <w:rFonts w:ascii="Times New Roman Regular" w:hAnsi="Times New Roman Regular" w:eastAsia="仿宋_GB2312" w:cs="Times New Roman Regular"/>
          <w:color w:val="000000" w:themeColor="text1"/>
          <w:sz w:val="28"/>
          <w:szCs w:val="28"/>
          <w14:textFill>
            <w14:solidFill>
              <w14:schemeClr w14:val="tx1"/>
            </w14:solidFill>
          </w14:textFill>
        </w:rPr>
        <w:t>运营期满3年时，政府方对</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w:t>
      </w:r>
      <w:r>
        <w:rPr>
          <w:rFonts w:ascii="Times New Roman Regular" w:hAnsi="Times New Roman Regular" w:eastAsia="仿宋_GB2312" w:cs="Times New Roman Regular"/>
          <w:color w:val="000000" w:themeColor="text1"/>
          <w:sz w:val="28"/>
          <w:szCs w:val="28"/>
          <w14:textFill>
            <w14:solidFill>
              <w14:schemeClr w14:val="tx1"/>
            </w14:solidFill>
          </w14:textFill>
        </w:rPr>
        <w:t>的运营成本进行一次监审，</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确定各主要成本项构成比例</w:t>
      </w:r>
      <w:r>
        <w:rPr>
          <w:rFonts w:ascii="Times New Roman Regular" w:hAnsi="Times New Roman Regular" w:eastAsia="仿宋_GB2312" w:cs="Times New Roman Regular"/>
          <w:color w:val="000000" w:themeColor="text1"/>
          <w:sz w:val="28"/>
          <w:szCs w:val="28"/>
          <w14:textFill>
            <w14:solidFill>
              <w14:schemeClr w14:val="tx1"/>
            </w14:solidFill>
          </w14:textFill>
        </w:rPr>
        <w:t>。</w:t>
      </w:r>
      <w:bookmarkEnd w:id="87"/>
      <w:r>
        <w:rPr>
          <w:rFonts w:ascii="Times New Roman Regular" w:hAnsi="Times New Roman Regular" w:eastAsia="仿宋_GB2312" w:cs="Times New Roman Regular"/>
          <w:color w:val="000000" w:themeColor="text1"/>
          <w:sz w:val="28"/>
          <w:szCs w:val="28"/>
          <w14:textFill>
            <w14:solidFill>
              <w14:schemeClr w14:val="tx1"/>
            </w14:solidFill>
          </w14:textFill>
        </w:rPr>
        <w:t xml:space="preserve"> </w:t>
      </w:r>
    </w:p>
    <w:p w14:paraId="241EF2A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88" w:name="_Toc15065"/>
      <w:r>
        <w:rPr>
          <w:rFonts w:ascii="Times New Roman Regular" w:hAnsi="Times New Roman Regular" w:eastAsia="仿宋_GB2312" w:cs="Times New Roman Regular"/>
          <w:color w:val="000000" w:themeColor="text1"/>
          <w:sz w:val="28"/>
          <w:szCs w:val="28"/>
          <w14:textFill>
            <w14:solidFill>
              <w14:schemeClr w14:val="tx1"/>
            </w14:solidFill>
          </w14:textFill>
        </w:rPr>
        <w:t>（2）调价公式</w:t>
      </w:r>
      <w:bookmarkEnd w:id="88"/>
    </w:p>
    <w:p w14:paraId="52504C6F">
      <w:pPr>
        <w:ind w:firstLine="560" w:firstLineChars="200"/>
        <w:rPr>
          <w:rFonts w:ascii="仿宋_GB2312" w:eastAsia="仿宋_GB2312"/>
          <w:color w:val="000000" w:themeColor="text1"/>
          <w:sz w:val="28"/>
          <w:szCs w:val="28"/>
          <w14:textFill>
            <w14:solidFill>
              <w14:schemeClr w14:val="tx1"/>
            </w14:solidFill>
          </w14:textFill>
        </w:rPr>
      </w:pPr>
      <w:bookmarkStart w:id="89" w:name="_Toc29668"/>
      <w:bookmarkStart w:id="90" w:name="_Toc10581"/>
      <w:bookmarkStart w:id="91" w:name="_Toc30313"/>
      <w:r>
        <w:rPr>
          <w:rFonts w:hint="eastAsia" w:ascii="仿宋_GB2312" w:eastAsia="仿宋_GB2312"/>
          <w:color w:val="000000" w:themeColor="text1"/>
          <w:sz w:val="28"/>
          <w:szCs w:val="28"/>
          <w14:textFill>
            <w14:solidFill>
              <w14:schemeClr w14:val="tx1"/>
            </w14:solidFill>
          </w14:textFill>
        </w:rPr>
        <w:t>调价公式如下：</w:t>
      </w:r>
    </w:p>
    <w:p w14:paraId="6D910EA5">
      <w:pPr>
        <w:ind w:firstLine="560" w:firstLineChars="20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P</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 P</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×K</w:t>
      </w:r>
    </w:p>
    <w:p w14:paraId="70EBC55A">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其中：</w:t>
      </w:r>
    </w:p>
    <w:p w14:paraId="1FFEFFD0">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n:调价年份（每满三年可申请调价一次）；n≥3</w:t>
      </w:r>
    </w:p>
    <w:p w14:paraId="14A89A9E">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P</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：上一个调价年度实际执行的年度服务费。当n=3时 P</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等于 P</w:t>
      </w:r>
      <w:r>
        <w:rPr>
          <w:rFonts w:hint="eastAsia" w:ascii="仿宋_GB2312" w:eastAsia="仿宋_GB2312"/>
          <w:color w:val="000000" w:themeColor="text1"/>
          <w:sz w:val="28"/>
          <w:szCs w:val="28"/>
          <w:vertAlign w:val="subscript"/>
          <w14:textFill>
            <w14:solidFill>
              <w14:schemeClr w14:val="tx1"/>
            </w14:solidFill>
          </w14:textFill>
        </w:rPr>
        <w:t>0</w:t>
      </w:r>
      <w:r>
        <w:rPr>
          <w:rFonts w:hint="eastAsia" w:ascii="仿宋_GB2312" w:eastAsia="仿宋_GB2312"/>
          <w:color w:val="000000" w:themeColor="text1"/>
          <w:sz w:val="28"/>
          <w:szCs w:val="28"/>
          <w14:textFill>
            <w14:solidFill>
              <w14:schemeClr w14:val="tx1"/>
            </w14:solidFill>
          </w14:textFill>
        </w:rPr>
        <w:t>为初始运营年份（以下简称初始年）服务费，指项目第一年实际执行的年度服务费金额；</w:t>
      </w:r>
    </w:p>
    <w:p w14:paraId="234060E3">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P</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 xml:space="preserve"> ：为第n年调整后的年度服务费；</w:t>
      </w:r>
    </w:p>
    <w:p w14:paraId="77D1B4DC">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K ： 为调价系数。K按以下原则进行计算：</w:t>
      </w:r>
    </w:p>
    <w:p w14:paraId="4314584E">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首先，每一个调价年份均按以下公式计算出k：</w:t>
      </w:r>
    </w:p>
    <w:p w14:paraId="7E8C6FE4">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k= C</w:t>
      </w:r>
      <w:r>
        <w:rPr>
          <w:rFonts w:hint="eastAsia" w:ascii="仿宋_GB2312" w:eastAsia="仿宋_GB2312"/>
          <w:color w:val="000000" w:themeColor="text1"/>
          <w:sz w:val="28"/>
          <w:szCs w:val="28"/>
          <w:vertAlign w:val="subscript"/>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×(E</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/E</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de-DE"/>
          <w14:textFill>
            <w14:solidFill>
              <w14:schemeClr w14:val="tx1"/>
            </w14:solidFill>
          </w14:textFill>
        </w:rPr>
        <w:t>C</w:t>
      </w:r>
      <w:r>
        <w:rPr>
          <w:rFonts w:hint="eastAsia" w:ascii="仿宋_GB2312" w:eastAsia="仿宋_GB2312"/>
          <w:color w:val="000000" w:themeColor="text1"/>
          <w:sz w:val="28"/>
          <w:szCs w:val="28"/>
          <w:vertAlign w:val="subscript"/>
          <w:lang w:val="de-DE"/>
          <w14:textFill>
            <w14:solidFill>
              <w14:schemeClr w14:val="tx1"/>
            </w14:solidFill>
          </w14:textFill>
        </w:rPr>
        <w:t>2</w:t>
      </w:r>
      <w:r>
        <w:rPr>
          <w:rFonts w:hint="eastAsia" w:ascii="仿宋_GB2312" w:eastAsia="仿宋_GB2312"/>
          <w:color w:val="000000" w:themeColor="text1"/>
          <w:sz w:val="28"/>
          <w:szCs w:val="28"/>
          <w:lang w:val="de-DE"/>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(L</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/L</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)＋C</w:t>
      </w:r>
      <w:r>
        <w:rPr>
          <w:rFonts w:ascii="仿宋_GB2312" w:eastAsia="仿宋_GB2312"/>
          <w:color w:val="000000" w:themeColor="text1"/>
          <w:sz w:val="28"/>
          <w:szCs w:val="28"/>
          <w:vertAlign w:val="subscript"/>
          <w:lang w:val="de-DE"/>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 (CPI</w:t>
      </w:r>
      <w:r>
        <w:rPr>
          <w:rFonts w:hint="eastAsia" w:ascii="仿宋_GB2312" w:eastAsia="仿宋_GB2312"/>
          <w:color w:val="000000" w:themeColor="text1"/>
          <w:sz w:val="28"/>
          <w:szCs w:val="28"/>
          <w:vertAlign w:val="subscript"/>
          <w14:textFill>
            <w14:solidFill>
              <w14:schemeClr w14:val="tx1"/>
            </w14:solidFill>
          </w14:textFill>
        </w:rPr>
        <w:t>n－1</w:t>
      </w:r>
      <w:r>
        <w:rPr>
          <w:rFonts w:hint="eastAsia" w:ascii="仿宋_GB2312" w:eastAsia="仿宋_GB2312"/>
          <w:color w:val="000000" w:themeColor="text1"/>
          <w:sz w:val="28"/>
          <w:szCs w:val="28"/>
          <w14:textFill>
            <w14:solidFill>
              <w14:schemeClr w14:val="tx1"/>
            </w14:solidFill>
          </w14:textFill>
        </w:rPr>
        <w:t>/100)×(CPI</w:t>
      </w:r>
      <w:r>
        <w:rPr>
          <w:rFonts w:hint="eastAsia" w:ascii="仿宋_GB2312" w:eastAsia="仿宋_GB2312"/>
          <w:color w:val="000000" w:themeColor="text1"/>
          <w:sz w:val="28"/>
          <w:szCs w:val="28"/>
          <w:vertAlign w:val="subscript"/>
          <w14:textFill>
            <w14:solidFill>
              <w14:schemeClr w14:val="tx1"/>
            </w14:solidFill>
          </w14:textFill>
        </w:rPr>
        <w:t>n－2</w:t>
      </w:r>
      <w:r>
        <w:rPr>
          <w:rFonts w:hint="eastAsia" w:ascii="仿宋_GB2312" w:eastAsia="仿宋_GB2312"/>
          <w:color w:val="000000" w:themeColor="text1"/>
          <w:sz w:val="28"/>
          <w:szCs w:val="28"/>
          <w14:textFill>
            <w14:solidFill>
              <w14:schemeClr w14:val="tx1"/>
            </w14:solidFill>
          </w14:textFill>
        </w:rPr>
        <w:t>/100)×(CPI</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/100)＋C</w:t>
      </w:r>
      <w:r>
        <w:rPr>
          <w:rFonts w:ascii="仿宋_GB2312" w:eastAsia="仿宋_GB2312"/>
          <w:color w:val="000000" w:themeColor="text1"/>
          <w:sz w:val="28"/>
          <w:szCs w:val="28"/>
          <w:vertAlign w:val="subscript"/>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 xml:space="preserve">     </w:t>
      </w:r>
    </w:p>
    <w:p w14:paraId="6CAD6993">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调价系数K依据以下方式确定：</w:t>
      </w:r>
    </w:p>
    <w:p w14:paraId="53B80E08">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若年度服务费在前一调价年份已进行过调整，则 K= k； </w:t>
      </w:r>
    </w:p>
    <w:p w14:paraId="56FF3CD2">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若在前一调价年份未进行过调整，则K= k×k</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w:t>
      </w:r>
    </w:p>
    <w:p w14:paraId="18CD1E0E">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其中k</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为（这里的n＞3）前一调价年份所计算得出的k值</w:t>
      </w:r>
      <w:bookmarkStart w:id="92" w:name="_Hlt221725693"/>
      <w:bookmarkEnd w:id="92"/>
      <w:r>
        <w:rPr>
          <w:rFonts w:hint="eastAsia" w:ascii="仿宋_GB2312" w:eastAsia="仿宋_GB2312"/>
          <w:color w:val="000000" w:themeColor="text1"/>
          <w:sz w:val="28"/>
          <w:szCs w:val="28"/>
          <w14:textFill>
            <w14:solidFill>
              <w14:schemeClr w14:val="tx1"/>
            </w14:solidFill>
          </w14:textFill>
        </w:rPr>
        <w:t>；</w:t>
      </w:r>
    </w:p>
    <w:p w14:paraId="1006C9CB">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若年度服务费在前两个连续的调价年份均未进行过调整，则K= k×k</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×k</w:t>
      </w:r>
      <w:r>
        <w:rPr>
          <w:rFonts w:hint="eastAsia" w:ascii="仿宋_GB2312" w:eastAsia="仿宋_GB2312"/>
          <w:color w:val="000000" w:themeColor="text1"/>
          <w:sz w:val="28"/>
          <w:szCs w:val="28"/>
          <w:vertAlign w:val="subscript"/>
          <w14:textFill>
            <w14:solidFill>
              <w14:schemeClr w14:val="tx1"/>
            </w14:solidFill>
          </w14:textFill>
        </w:rPr>
        <w:t>n-6</w:t>
      </w:r>
      <w:r>
        <w:rPr>
          <w:rFonts w:hint="eastAsia" w:ascii="仿宋_GB2312" w:eastAsia="仿宋_GB2312"/>
          <w:color w:val="000000" w:themeColor="text1"/>
          <w:sz w:val="28"/>
          <w:szCs w:val="28"/>
          <w14:textFill>
            <w14:solidFill>
              <w14:schemeClr w14:val="tx1"/>
            </w14:solidFill>
          </w14:textFill>
        </w:rPr>
        <w:t>，其中k</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、k</w:t>
      </w:r>
      <w:r>
        <w:rPr>
          <w:rFonts w:hint="eastAsia" w:ascii="仿宋_GB2312" w:eastAsia="仿宋_GB2312"/>
          <w:color w:val="000000" w:themeColor="text1"/>
          <w:sz w:val="28"/>
          <w:szCs w:val="28"/>
          <w:vertAlign w:val="subscript"/>
          <w14:textFill>
            <w14:solidFill>
              <w14:schemeClr w14:val="tx1"/>
            </w14:solidFill>
          </w14:textFill>
        </w:rPr>
        <w:t>n-6</w:t>
      </w:r>
      <w:r>
        <w:rPr>
          <w:rFonts w:hint="eastAsia" w:ascii="仿宋_GB2312" w:eastAsia="仿宋_GB2312"/>
          <w:color w:val="000000" w:themeColor="text1"/>
          <w:sz w:val="28"/>
          <w:szCs w:val="28"/>
          <w14:textFill>
            <w14:solidFill>
              <w14:schemeClr w14:val="tx1"/>
            </w14:solidFill>
          </w14:textFill>
        </w:rPr>
        <w:t>（这里的n＞6）分别为前两个调价年份所计算得出的k值；依次类推。此外，以上公式中：</w:t>
      </w:r>
    </w:p>
    <w:p w14:paraId="6F7827E4">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是正常运行条件下电力成本占年度运维成本的比例；</w:t>
      </w:r>
    </w:p>
    <w:p w14:paraId="6F9F4A0A">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是正常运行条件下人工成本占年度运维成本的比例；</w:t>
      </w:r>
    </w:p>
    <w:p w14:paraId="4781F9E5">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是正常运行条件下扣除电力成本、人工成本、折旧摊销、所得税、财务费用外的，会因通胀或通缩带来变动的运营成本的比例，包括：维护费、管理费、修理费、重置更新成本、污泥运输及处置费、化验费等；</w:t>
      </w:r>
    </w:p>
    <w:p w14:paraId="26AF5314">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w:t>
      </w:r>
      <w:r>
        <w:rPr>
          <w:rFonts w:ascii="仿宋_GB2312" w:eastAsia="仿宋_GB2312"/>
          <w:color w:val="000000" w:themeColor="text1"/>
          <w:sz w:val="28"/>
          <w:szCs w:val="28"/>
          <w:vertAlign w:val="subscript"/>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为其他所有对调价系数不产生影响的成本占总成本的比例。其中，</w:t>
      </w:r>
    </w:p>
    <w:p w14:paraId="2F12E249">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=1</w:t>
      </w:r>
    </w:p>
    <w:p w14:paraId="027FD0F5">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对于C</w:t>
      </w:r>
      <w:r>
        <w:rPr>
          <w:rFonts w:hint="eastAsia" w:ascii="仿宋_GB2312" w:eastAsia="仿宋_GB2312"/>
          <w:color w:val="000000" w:themeColor="text1"/>
          <w:sz w:val="28"/>
          <w:szCs w:val="28"/>
          <w:vertAlign w:val="subscript"/>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-C</w:t>
      </w:r>
      <w:r>
        <w:rPr>
          <w:rFonts w:ascii="仿宋_GB2312" w:eastAsia="仿宋_GB2312"/>
          <w:color w:val="000000" w:themeColor="text1"/>
          <w:sz w:val="28"/>
          <w:szCs w:val="28"/>
          <w:vertAlign w:val="subscript"/>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的取值，第一次以政府相关部门审核的数据确定，此后每次调价，双方将根据项目的运营情况，双方协商予以调整，以反映特许经营单位在运营期内各项经营成本构成比例的变化情况。</w:t>
      </w:r>
    </w:p>
    <w:p w14:paraId="533DA36E">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E</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：第n年时，特许经营单位所付电费每度电的平均电价；</w:t>
      </w:r>
    </w:p>
    <w:p w14:paraId="7EB383F4">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E</w:t>
      </w:r>
      <w:r>
        <w:rPr>
          <w:rFonts w:hint="eastAsia" w:ascii="仿宋_GB2312" w:eastAsia="仿宋_GB2312"/>
          <w:color w:val="000000" w:themeColor="text1"/>
          <w:sz w:val="28"/>
          <w:szCs w:val="28"/>
          <w:vertAlign w:val="subscript"/>
          <w14:textFill>
            <w14:solidFill>
              <w14:schemeClr w14:val="tx1"/>
            </w14:solidFill>
          </w14:textFill>
        </w:rPr>
        <w:t>n</w:t>
      </w:r>
      <w:r>
        <w:rPr>
          <w:rFonts w:ascii="仿宋_GB2312" w:eastAsia="仿宋_GB2312"/>
          <w:color w:val="000000" w:themeColor="text1"/>
          <w:sz w:val="28"/>
          <w:szCs w:val="28"/>
          <w:vertAlign w:val="subscript"/>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：第n</w:t>
      </w: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年时，特许经营单位所付电费每度电的平均电价；</w:t>
      </w:r>
    </w:p>
    <w:p w14:paraId="46038658">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L</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 xml:space="preserve">：第n年时，潮州市统计局公布的前一年度全市城镇非私营单位，“水利、环境和公共设施管理业”在岗职工平均工资； </w:t>
      </w:r>
    </w:p>
    <w:p w14:paraId="6F7B9E32">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L</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：第n</w:t>
      </w: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年时，潮州市统计局公布的前一年度全市城镇非私营单位，“水利、环境和公共设施管理业”在岗职工平均工资；</w:t>
      </w:r>
    </w:p>
    <w:p w14:paraId="662F03D4">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CPI</w:t>
      </w:r>
      <w:r>
        <w:rPr>
          <w:rFonts w:hint="eastAsia" w:ascii="仿宋_GB2312" w:eastAsia="仿宋_GB2312"/>
          <w:color w:val="000000" w:themeColor="text1"/>
          <w:sz w:val="28"/>
          <w:szCs w:val="28"/>
          <w:vertAlign w:val="subscript"/>
          <w14:textFill>
            <w14:solidFill>
              <w14:schemeClr w14:val="tx1"/>
            </w14:solidFill>
          </w14:textFill>
        </w:rPr>
        <w:t>n－1</w:t>
      </w:r>
      <w:r>
        <w:rPr>
          <w:rFonts w:hint="eastAsia" w:ascii="仿宋_GB2312" w:eastAsia="仿宋_GB2312"/>
          <w:color w:val="000000" w:themeColor="text1"/>
          <w:sz w:val="28"/>
          <w:szCs w:val="28"/>
          <w14:textFill>
            <w14:solidFill>
              <w14:schemeClr w14:val="tx1"/>
            </w14:solidFill>
          </w14:textFill>
        </w:rPr>
        <w:t>：第n年时，由潮州市统计局公布的《国民经济和社会发展统计公报》中公布的该调价年份前一年全市居民消费价格指数；</w:t>
      </w:r>
    </w:p>
    <w:p w14:paraId="7E9A3868">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CPI</w:t>
      </w:r>
      <w:r>
        <w:rPr>
          <w:rFonts w:hint="eastAsia" w:ascii="仿宋_GB2312" w:eastAsia="仿宋_GB2312"/>
          <w:color w:val="000000" w:themeColor="text1"/>
          <w:sz w:val="28"/>
          <w:szCs w:val="28"/>
          <w:vertAlign w:val="subscript"/>
          <w14:textFill>
            <w14:solidFill>
              <w14:schemeClr w14:val="tx1"/>
            </w14:solidFill>
          </w14:textFill>
        </w:rPr>
        <w:t>n－2</w:t>
      </w:r>
      <w:r>
        <w:rPr>
          <w:rFonts w:hint="eastAsia" w:ascii="仿宋_GB2312" w:eastAsia="仿宋_GB2312"/>
          <w:color w:val="000000" w:themeColor="text1"/>
          <w:sz w:val="28"/>
          <w:szCs w:val="28"/>
          <w14:textFill>
            <w14:solidFill>
              <w14:schemeClr w14:val="tx1"/>
            </w14:solidFill>
          </w14:textFill>
        </w:rPr>
        <w:t>：第n-1年时，由潮州市统计局公布的《国民经济和社会发展统计公报》中公布的该调价年份前一年全市居民消费价格指数；</w:t>
      </w:r>
    </w:p>
    <w:p w14:paraId="2E85078E">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CPI</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：第n-2年时，由潮州市统计局公布的《国民经济和社会发展统计公报》中公布的该调价年份前一年全市居民消费价格指数。</w:t>
      </w:r>
    </w:p>
    <w:p w14:paraId="0D03640C">
      <w:pPr>
        <w:pStyle w:val="43"/>
        <w:spacing w:before="156" w:after="156"/>
      </w:pPr>
    </w:p>
    <w:p w14:paraId="6BA28CAC">
      <w:pPr>
        <w:pStyle w:val="4"/>
      </w:pPr>
      <w:bookmarkStart w:id="93" w:name="_Toc188530554"/>
      <w:r>
        <w:t>（三）项目盈利能力分析</w:t>
      </w:r>
      <w:bookmarkEnd w:id="89"/>
      <w:bookmarkEnd w:id="90"/>
      <w:bookmarkEnd w:id="91"/>
      <w:bookmarkEnd w:id="93"/>
    </w:p>
    <w:p w14:paraId="5621E60B">
      <w:pPr>
        <w:pStyle w:val="5"/>
      </w:pPr>
      <w:r>
        <w:rPr>
          <w:rFonts w:hint="eastAsia"/>
        </w:rPr>
        <w:t>1、分析依据</w:t>
      </w:r>
    </w:p>
    <w:p w14:paraId="6D830AF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（1）</w:t>
      </w:r>
      <w:r>
        <w:rPr>
          <w:rFonts w:ascii="Times New Roman Regular" w:hAnsi="Times New Roman Regular" w:eastAsia="仿宋_GB2312" w:cs="Times New Roman Regular"/>
          <w:color w:val="000000" w:themeColor="text1"/>
          <w:sz w:val="28"/>
          <w:szCs w:val="28"/>
          <w14:textFill>
            <w14:solidFill>
              <w14:schemeClr w14:val="tx1"/>
            </w14:solidFill>
          </w14:textFill>
        </w:rPr>
        <w:t>国家发展改革委、建设部联合发布的《建设项目经济评价方法与参数》（第三版、2006年）。</w:t>
      </w:r>
    </w:p>
    <w:p w14:paraId="5749615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（2）</w:t>
      </w:r>
      <w:r>
        <w:rPr>
          <w:rFonts w:ascii="Times New Roman Regular" w:hAnsi="Times New Roman Regular" w:eastAsia="仿宋_GB2312" w:cs="Times New Roman Regular"/>
          <w:color w:val="000000" w:themeColor="text1"/>
          <w:sz w:val="28"/>
          <w:szCs w:val="28"/>
          <w14:textFill>
            <w14:solidFill>
              <w14:schemeClr w14:val="tx1"/>
            </w14:solidFill>
          </w14:textFill>
        </w:rPr>
        <w:t>国家计委《关于工程建设其他项目划分暂行规定》、《关于改进建筑安装工程费用项目划分的若干规定》。</w:t>
      </w:r>
    </w:p>
    <w:p w14:paraId="3527B00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（3）</w:t>
      </w:r>
      <w:r>
        <w:rPr>
          <w:rFonts w:ascii="Times New Roman Regular" w:hAnsi="Times New Roman Regular" w:eastAsia="仿宋_GB2312" w:cs="Times New Roman Regular"/>
          <w:color w:val="000000" w:themeColor="text1"/>
          <w:sz w:val="28"/>
          <w:szCs w:val="28"/>
          <w14:textFill>
            <w14:solidFill>
              <w14:schemeClr w14:val="tx1"/>
            </w14:solidFill>
          </w14:textFill>
        </w:rPr>
        <w:t>中国国际工程咨询公司《投资项目经济咨询评估指南》。</w:t>
      </w:r>
    </w:p>
    <w:p w14:paraId="4E99C91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（4）</w:t>
      </w:r>
      <w:r>
        <w:rPr>
          <w:rFonts w:ascii="Times New Roman Regular" w:hAnsi="Times New Roman Regular" w:eastAsia="仿宋_GB2312" w:cs="Times New Roman Regular"/>
          <w:color w:val="000000" w:themeColor="text1"/>
          <w:sz w:val="28"/>
          <w:szCs w:val="28"/>
          <w14:textFill>
            <w14:solidFill>
              <w14:schemeClr w14:val="tx1"/>
            </w14:solidFill>
          </w14:textFill>
        </w:rPr>
        <w:t>《投资项目可行性研究指南》及其他有关经济法规和文件。</w:t>
      </w:r>
    </w:p>
    <w:p w14:paraId="7C1EFDA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5</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）《国务院关于批转财政部权责发生制政府综合财务报告制度改革方案的通知》（国发〔2014〕63号）。</w:t>
      </w:r>
    </w:p>
    <w:p w14:paraId="4BF6BC4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6</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）《市政公用设施建设项目经济评价方法与参数》建标〔2008〕162号。</w:t>
      </w:r>
    </w:p>
    <w:p w14:paraId="7D217A76">
      <w:pPr>
        <w:pStyle w:val="5"/>
      </w:pPr>
      <w:bookmarkStart w:id="94" w:name="_Toc47894470"/>
      <w:r>
        <w:t>2</w:t>
      </w:r>
      <w:r>
        <w:rPr>
          <w:rFonts w:hint="eastAsia"/>
        </w:rPr>
        <w:t>、 基础数据</w:t>
      </w:r>
      <w:bookmarkEnd w:id="94"/>
      <w:r>
        <w:rPr>
          <w:rFonts w:hint="eastAsia"/>
        </w:rPr>
        <w:t>及假定</w:t>
      </w:r>
    </w:p>
    <w:p w14:paraId="406B360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（1）项目投资</w:t>
      </w:r>
    </w:p>
    <w:p w14:paraId="528741E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根据第三方资产评估，本项目3</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年特许经营权价值为11000万元。</w:t>
      </w:r>
    </w:p>
    <w:p w14:paraId="25AFBF5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（2）项目规模</w:t>
      </w:r>
    </w:p>
    <w:p w14:paraId="3F45A1D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本</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项目实施内容包括52个自然村的污水处理设施，其中，纳入城镇污水处理厂处理的管网项目</w:t>
      </w:r>
      <w:r>
        <w:rPr>
          <w:rFonts w:ascii="Times New Roman Regular" w:hAnsi="Times New Roman Regular" w:eastAsia="仿宋_GB2312" w:cs="Times New Roman Regular"/>
          <w:color w:val="000000" w:themeColor="text1"/>
          <w:sz w:val="28"/>
          <w:szCs w:val="28"/>
          <w14:textFill>
            <w14:solidFill>
              <w14:schemeClr w14:val="tx1"/>
            </w14:solidFill>
          </w14:textFill>
        </w:rPr>
        <w:t>29</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个，覆盖常住人口约</w:t>
      </w:r>
      <w:r>
        <w:rPr>
          <w:rFonts w:ascii="Times New Roman Regular" w:hAnsi="Times New Roman Regular" w:eastAsia="仿宋_GB2312" w:cs="Times New Roman Regular"/>
          <w:color w:val="000000" w:themeColor="text1"/>
          <w:sz w:val="28"/>
          <w:szCs w:val="28"/>
          <w14:textFill>
            <w14:solidFill>
              <w14:schemeClr w14:val="tx1"/>
            </w14:solidFill>
          </w14:textFill>
        </w:rPr>
        <w:t>36892</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人，原建设投资约10</w:t>
      </w:r>
      <w:r>
        <w:rPr>
          <w:rFonts w:ascii="Times New Roman Regular" w:hAnsi="Times New Roman Regular" w:eastAsia="仿宋_GB2312" w:cs="Times New Roman Regular"/>
          <w:color w:val="000000" w:themeColor="text1"/>
          <w:sz w:val="28"/>
          <w:szCs w:val="28"/>
          <w14:textFill>
            <w14:solidFill>
              <w14:schemeClr w14:val="tx1"/>
            </w14:solidFill>
          </w14:textFill>
        </w:rPr>
        <w:t>405</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万元，管渠长度合计3</w:t>
      </w:r>
      <w:r>
        <w:rPr>
          <w:rFonts w:ascii="Times New Roman Regular" w:hAnsi="Times New Roman Regular" w:eastAsia="仿宋_GB2312" w:cs="Times New Roman Regular"/>
          <w:color w:val="000000" w:themeColor="text1"/>
          <w:sz w:val="28"/>
          <w:szCs w:val="28"/>
          <w14:textFill>
            <w14:solidFill>
              <w14:schemeClr w14:val="tx1"/>
            </w14:solidFill>
          </w14:textFill>
        </w:rPr>
        <w:t>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.2Km（其中管网</w:t>
      </w:r>
      <w:r>
        <w:rPr>
          <w:rFonts w:ascii="Times New Roman Regular" w:hAnsi="Times New Roman Regular" w:eastAsia="仿宋_GB2312" w:cs="Times New Roman Regular"/>
          <w:color w:val="000000" w:themeColor="text1"/>
          <w:sz w:val="28"/>
          <w:szCs w:val="28"/>
          <w14:textFill>
            <w14:solidFill>
              <w14:schemeClr w14:val="tx1"/>
            </w14:solidFill>
          </w14:textFill>
        </w:rPr>
        <w:t>29</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.3Km，暗渠4.9Km）；人工湿地、一体化设施及资源化利用项目2</w:t>
      </w:r>
      <w:r>
        <w:rPr>
          <w:rFonts w:ascii="Times New Roman Regular" w:hAnsi="Times New Roman Regular" w:eastAsia="仿宋_GB2312" w:cs="Times New Roman Regular"/>
          <w:color w:val="000000" w:themeColor="text1"/>
          <w:sz w:val="28"/>
          <w:szCs w:val="28"/>
          <w14:textFill>
            <w14:solidFill>
              <w14:schemeClr w14:val="tx1"/>
            </w14:solidFill>
          </w14:textFill>
        </w:rPr>
        <w:t>3</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个，覆盖常住人口约</w:t>
      </w:r>
      <w:r>
        <w:rPr>
          <w:rFonts w:ascii="Times New Roman Regular" w:hAnsi="Times New Roman Regular" w:eastAsia="仿宋_GB2312" w:cs="Times New Roman Regular"/>
          <w:color w:val="000000" w:themeColor="text1"/>
          <w:sz w:val="28"/>
          <w:szCs w:val="28"/>
          <w14:textFill>
            <w14:solidFill>
              <w14:schemeClr w14:val="tx1"/>
            </w14:solidFill>
          </w14:textFill>
        </w:rPr>
        <w:t>8091</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人，原建设投资约</w:t>
      </w:r>
      <w:r>
        <w:rPr>
          <w:rFonts w:ascii="Times New Roman Regular" w:hAnsi="Times New Roman Regular" w:eastAsia="仿宋_GB2312" w:cs="Times New Roman Regular"/>
          <w:color w:val="000000" w:themeColor="text1"/>
          <w:sz w:val="28"/>
          <w:szCs w:val="28"/>
          <w14:textFill>
            <w14:solidFill>
              <w14:schemeClr w14:val="tx1"/>
            </w14:solidFill>
          </w14:textFill>
        </w:rPr>
        <w:t>2314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万元，管渠长度合计约</w:t>
      </w:r>
      <w:r>
        <w:rPr>
          <w:rFonts w:ascii="Times New Roman Regular" w:hAnsi="Times New Roman Regular" w:eastAsia="仿宋_GB2312" w:cs="Times New Roman Regular"/>
          <w:color w:val="000000" w:themeColor="text1"/>
          <w:sz w:val="28"/>
          <w:szCs w:val="28"/>
          <w14:textFill>
            <w14:solidFill>
              <w14:schemeClr w14:val="tx1"/>
            </w14:solidFill>
          </w14:textFill>
        </w:rPr>
        <w:t>11.2</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Km（其中管网</w:t>
      </w:r>
      <w:r>
        <w:rPr>
          <w:rFonts w:ascii="Times New Roman Regular" w:hAnsi="Times New Roman Regular" w:eastAsia="仿宋_GB2312" w:cs="Times New Roman Regular"/>
          <w:color w:val="000000" w:themeColor="text1"/>
          <w:sz w:val="28"/>
          <w:szCs w:val="28"/>
          <w14:textFill>
            <w14:solidFill>
              <w14:schemeClr w14:val="tx1"/>
            </w14:solidFill>
          </w14:textFill>
        </w:rPr>
        <w:t>8</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06</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Km，暗渠3.15Km），具体情况如下表：</w:t>
      </w:r>
    </w:p>
    <w:p w14:paraId="6D5FA347">
      <w:pPr>
        <w:pStyle w:val="43"/>
        <w:adjustRightInd w:val="0"/>
        <w:spacing w:before="156" w:after="156" w:line="360" w:lineRule="auto"/>
        <w:ind w:firstLine="562"/>
        <w:jc w:val="center"/>
        <w:rPr>
          <w:rFonts w:ascii="仿宋_GB2312" w:hAnsi="宋体" w:eastAsia="仿宋_GB2312" w:cs="仿宋_GB2312"/>
          <w:b/>
          <w:bCs/>
          <w:szCs w:val="28"/>
        </w:rPr>
      </w:pPr>
      <w:r>
        <w:rPr>
          <w:rFonts w:hint="eastAsia" w:ascii="仿宋_GB2312" w:hAnsi="宋体" w:eastAsia="仿宋_GB2312" w:cs="仿宋_GB2312"/>
          <w:b/>
          <w:bCs/>
          <w:szCs w:val="28"/>
        </w:rPr>
        <w:t>表3-5 不同类型设施规模</w:t>
      </w:r>
    </w:p>
    <w:tbl>
      <w:tblPr>
        <w:tblStyle w:val="1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1418"/>
        <w:gridCol w:w="1396"/>
        <w:gridCol w:w="1896"/>
        <w:gridCol w:w="1501"/>
        <w:gridCol w:w="1354"/>
      </w:tblGrid>
      <w:tr w14:paraId="266E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37" w:type="dxa"/>
            <w:tcBorders>
              <w:top w:val="single" w:color="auto" w:sz="4" w:space="0"/>
              <w:left w:val="single" w:color="auto" w:sz="4" w:space="0"/>
              <w:bottom w:val="single" w:color="auto" w:sz="4" w:space="0"/>
              <w:right w:val="single" w:color="auto" w:sz="4" w:space="0"/>
            </w:tcBorders>
            <w:noWrap/>
            <w:vAlign w:val="center"/>
          </w:tcPr>
          <w:p w14:paraId="0907CEA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类型</w:t>
            </w:r>
          </w:p>
        </w:tc>
        <w:tc>
          <w:tcPr>
            <w:tcW w:w="1418" w:type="dxa"/>
            <w:tcBorders>
              <w:top w:val="single" w:color="auto" w:sz="4" w:space="0"/>
              <w:left w:val="single" w:color="auto" w:sz="4" w:space="0"/>
              <w:bottom w:val="single" w:color="auto" w:sz="4" w:space="0"/>
              <w:right w:val="single" w:color="auto" w:sz="4" w:space="0"/>
            </w:tcBorders>
            <w:noWrap/>
            <w:vAlign w:val="center"/>
          </w:tcPr>
          <w:p w14:paraId="0B8EEFC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自然村个数</w:t>
            </w:r>
          </w:p>
        </w:tc>
        <w:tc>
          <w:tcPr>
            <w:tcW w:w="1396" w:type="dxa"/>
            <w:tcBorders>
              <w:top w:val="single" w:color="auto" w:sz="4" w:space="0"/>
              <w:left w:val="single" w:color="auto" w:sz="4" w:space="0"/>
              <w:bottom w:val="single" w:color="auto" w:sz="4" w:space="0"/>
              <w:right w:val="single" w:color="auto" w:sz="4" w:space="0"/>
            </w:tcBorders>
            <w:noWrap/>
            <w:vAlign w:val="center"/>
          </w:tcPr>
          <w:p w14:paraId="059241E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常住人口（人）</w:t>
            </w:r>
          </w:p>
        </w:tc>
        <w:tc>
          <w:tcPr>
            <w:tcW w:w="1896" w:type="dxa"/>
            <w:tcBorders>
              <w:top w:val="single" w:color="auto" w:sz="4" w:space="0"/>
              <w:left w:val="single" w:color="auto" w:sz="4" w:space="0"/>
              <w:bottom w:val="single" w:color="auto" w:sz="4" w:space="0"/>
              <w:right w:val="single" w:color="auto" w:sz="4" w:space="0"/>
            </w:tcBorders>
            <w:noWrap/>
            <w:vAlign w:val="center"/>
          </w:tcPr>
          <w:p w14:paraId="031DFD6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原建设投资</w:t>
            </w:r>
          </w:p>
          <w:p w14:paraId="56F5DCE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（万元）</w:t>
            </w:r>
          </w:p>
        </w:tc>
        <w:tc>
          <w:tcPr>
            <w:tcW w:w="1501" w:type="dxa"/>
            <w:tcBorders>
              <w:top w:val="single" w:color="auto" w:sz="4" w:space="0"/>
              <w:left w:val="single" w:color="auto" w:sz="4" w:space="0"/>
              <w:bottom w:val="single" w:color="auto" w:sz="4" w:space="0"/>
              <w:right w:val="single" w:color="auto" w:sz="4" w:space="0"/>
            </w:tcBorders>
            <w:noWrap/>
            <w:vAlign w:val="center"/>
          </w:tcPr>
          <w:p w14:paraId="7608389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管网</w:t>
            </w:r>
          </w:p>
          <w:p w14:paraId="3128826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（m）</w:t>
            </w:r>
          </w:p>
        </w:tc>
        <w:tc>
          <w:tcPr>
            <w:tcW w:w="1354" w:type="dxa"/>
            <w:tcBorders>
              <w:top w:val="single" w:color="auto" w:sz="4" w:space="0"/>
              <w:left w:val="single" w:color="auto" w:sz="4" w:space="0"/>
              <w:bottom w:val="single" w:color="auto" w:sz="4" w:space="0"/>
              <w:right w:val="single" w:color="auto" w:sz="4" w:space="0"/>
            </w:tcBorders>
            <w:noWrap/>
            <w:vAlign w:val="center"/>
          </w:tcPr>
          <w:p w14:paraId="7A1F864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明沟暗化(m)</w:t>
            </w:r>
          </w:p>
        </w:tc>
      </w:tr>
      <w:tr w14:paraId="447D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37" w:type="dxa"/>
            <w:tcBorders>
              <w:top w:val="single" w:color="auto" w:sz="4" w:space="0"/>
              <w:left w:val="single" w:color="auto" w:sz="4" w:space="0"/>
              <w:bottom w:val="single" w:color="auto" w:sz="4" w:space="0"/>
              <w:right w:val="single" w:color="auto" w:sz="4" w:space="0"/>
            </w:tcBorders>
            <w:noWrap/>
            <w:vAlign w:val="center"/>
          </w:tcPr>
          <w:p w14:paraId="6FB8E17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纳厂管网项目</w:t>
            </w:r>
          </w:p>
        </w:tc>
        <w:tc>
          <w:tcPr>
            <w:tcW w:w="1418" w:type="dxa"/>
            <w:tcBorders>
              <w:top w:val="single" w:color="auto" w:sz="4" w:space="0"/>
              <w:left w:val="single" w:color="auto" w:sz="4" w:space="0"/>
              <w:bottom w:val="single" w:color="auto" w:sz="4" w:space="0"/>
              <w:right w:val="single" w:color="auto" w:sz="4" w:space="0"/>
            </w:tcBorders>
            <w:noWrap/>
            <w:vAlign w:val="center"/>
          </w:tcPr>
          <w:p w14:paraId="22AEA3BE">
            <w:pPr>
              <w:widowControl/>
              <w:jc w:val="center"/>
              <w:rPr>
                <w:rFonts w:ascii="仿宋_GB2312" w:hAnsi="宋体" w:eastAsia="仿宋_GB2312" w:cs="宋体"/>
                <w:color w:val="000000"/>
                <w:kern w:val="0"/>
                <w:sz w:val="24"/>
              </w:rPr>
            </w:pPr>
            <w:r>
              <w:rPr>
                <w:rFonts w:ascii="仿宋_GB2312" w:hAnsi="等线" w:eastAsia="仿宋_GB2312"/>
                <w:color w:val="000000"/>
                <w:sz w:val="24"/>
              </w:rPr>
              <w:t>29</w:t>
            </w:r>
          </w:p>
        </w:tc>
        <w:tc>
          <w:tcPr>
            <w:tcW w:w="1396" w:type="dxa"/>
            <w:tcBorders>
              <w:top w:val="single" w:color="auto" w:sz="4" w:space="0"/>
              <w:left w:val="single" w:color="auto" w:sz="4" w:space="0"/>
              <w:bottom w:val="single" w:color="auto" w:sz="4" w:space="0"/>
              <w:right w:val="single" w:color="auto" w:sz="4" w:space="0"/>
            </w:tcBorders>
            <w:noWrap/>
            <w:vAlign w:val="center"/>
          </w:tcPr>
          <w:p w14:paraId="20CC8046">
            <w:pPr>
              <w:widowControl/>
              <w:jc w:val="center"/>
              <w:rPr>
                <w:rFonts w:ascii="仿宋_GB2312" w:hAnsi="宋体" w:eastAsia="仿宋_GB2312" w:cs="宋体"/>
                <w:color w:val="000000"/>
                <w:kern w:val="0"/>
                <w:sz w:val="24"/>
              </w:rPr>
            </w:pPr>
            <w:r>
              <w:rPr>
                <w:rFonts w:ascii="仿宋_GB2312" w:hAnsi="等线" w:eastAsia="仿宋_GB2312"/>
                <w:color w:val="000000"/>
                <w:sz w:val="24"/>
              </w:rPr>
              <w:t>36892</w:t>
            </w:r>
          </w:p>
        </w:tc>
        <w:tc>
          <w:tcPr>
            <w:tcW w:w="1896" w:type="dxa"/>
            <w:tcBorders>
              <w:top w:val="single" w:color="auto" w:sz="4" w:space="0"/>
              <w:left w:val="single" w:color="auto" w:sz="4" w:space="0"/>
              <w:bottom w:val="single" w:color="auto" w:sz="4" w:space="0"/>
              <w:right w:val="single" w:color="auto" w:sz="4" w:space="0"/>
            </w:tcBorders>
            <w:noWrap/>
            <w:vAlign w:val="center"/>
          </w:tcPr>
          <w:p w14:paraId="6061C582">
            <w:pPr>
              <w:widowControl/>
              <w:jc w:val="center"/>
              <w:rPr>
                <w:rFonts w:ascii="仿宋_GB2312" w:hAnsi="宋体" w:eastAsia="仿宋_GB2312" w:cs="宋体"/>
                <w:color w:val="000000"/>
                <w:kern w:val="0"/>
                <w:sz w:val="24"/>
              </w:rPr>
            </w:pPr>
            <w:r>
              <w:rPr>
                <w:rFonts w:ascii="仿宋_GB2312" w:hAnsi="等线" w:eastAsia="仿宋_GB2312"/>
                <w:color w:val="000000"/>
                <w:sz w:val="24"/>
              </w:rPr>
              <w:t>10405</w:t>
            </w:r>
          </w:p>
        </w:tc>
        <w:tc>
          <w:tcPr>
            <w:tcW w:w="1501" w:type="dxa"/>
            <w:tcBorders>
              <w:top w:val="single" w:color="auto" w:sz="4" w:space="0"/>
              <w:left w:val="single" w:color="auto" w:sz="4" w:space="0"/>
              <w:bottom w:val="single" w:color="auto" w:sz="4" w:space="0"/>
              <w:right w:val="single" w:color="auto" w:sz="4" w:space="0"/>
            </w:tcBorders>
            <w:noWrap/>
            <w:vAlign w:val="center"/>
          </w:tcPr>
          <w:p w14:paraId="21E30264">
            <w:pPr>
              <w:widowControl/>
              <w:jc w:val="center"/>
              <w:rPr>
                <w:rFonts w:ascii="仿宋_GB2312" w:hAnsi="宋体" w:eastAsia="仿宋_GB2312" w:cs="宋体"/>
                <w:color w:val="000000"/>
                <w:kern w:val="0"/>
                <w:sz w:val="24"/>
              </w:rPr>
            </w:pPr>
            <w:r>
              <w:rPr>
                <w:rFonts w:ascii="仿宋_GB2312" w:hAnsi="等线" w:eastAsia="仿宋_GB2312"/>
                <w:color w:val="000000"/>
                <w:sz w:val="24"/>
              </w:rPr>
              <w:t>29335</w:t>
            </w:r>
          </w:p>
        </w:tc>
        <w:tc>
          <w:tcPr>
            <w:tcW w:w="1354" w:type="dxa"/>
            <w:tcBorders>
              <w:top w:val="single" w:color="auto" w:sz="4" w:space="0"/>
              <w:left w:val="single" w:color="auto" w:sz="4" w:space="0"/>
              <w:bottom w:val="single" w:color="auto" w:sz="4" w:space="0"/>
              <w:right w:val="single" w:color="auto" w:sz="4" w:space="0"/>
            </w:tcBorders>
            <w:noWrap/>
            <w:vAlign w:val="center"/>
          </w:tcPr>
          <w:p w14:paraId="1CDF7AF7">
            <w:pPr>
              <w:widowControl/>
              <w:jc w:val="center"/>
              <w:rPr>
                <w:rFonts w:ascii="仿宋_GB2312" w:hAnsi="宋体" w:eastAsia="仿宋_GB2312" w:cs="宋体"/>
                <w:color w:val="000000"/>
                <w:kern w:val="0"/>
                <w:sz w:val="24"/>
              </w:rPr>
            </w:pPr>
            <w:r>
              <w:rPr>
                <w:rFonts w:ascii="仿宋_GB2312" w:hAnsi="等线" w:eastAsia="仿宋_GB2312"/>
                <w:color w:val="000000"/>
                <w:sz w:val="24"/>
              </w:rPr>
              <w:t>4900</w:t>
            </w:r>
          </w:p>
        </w:tc>
      </w:tr>
      <w:tr w14:paraId="0BD0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37" w:type="dxa"/>
            <w:tcBorders>
              <w:top w:val="single" w:color="auto" w:sz="4" w:space="0"/>
              <w:left w:val="single" w:color="auto" w:sz="4" w:space="0"/>
              <w:bottom w:val="single" w:color="auto" w:sz="4" w:space="0"/>
              <w:right w:val="single" w:color="auto" w:sz="4" w:space="0"/>
            </w:tcBorders>
            <w:noWrap/>
            <w:vAlign w:val="center"/>
          </w:tcPr>
          <w:p w14:paraId="0E0A6E9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人工湿地、一体化设施及资源利用项目</w:t>
            </w:r>
          </w:p>
        </w:tc>
        <w:tc>
          <w:tcPr>
            <w:tcW w:w="1418" w:type="dxa"/>
            <w:tcBorders>
              <w:top w:val="single" w:color="auto" w:sz="4" w:space="0"/>
              <w:left w:val="single" w:color="auto" w:sz="4" w:space="0"/>
              <w:bottom w:val="single" w:color="auto" w:sz="4" w:space="0"/>
              <w:right w:val="single" w:color="auto" w:sz="4" w:space="0"/>
            </w:tcBorders>
            <w:noWrap/>
            <w:vAlign w:val="center"/>
          </w:tcPr>
          <w:p w14:paraId="4140FB0F">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23</w:t>
            </w:r>
          </w:p>
        </w:tc>
        <w:tc>
          <w:tcPr>
            <w:tcW w:w="1396" w:type="dxa"/>
            <w:tcBorders>
              <w:top w:val="single" w:color="auto" w:sz="4" w:space="0"/>
              <w:left w:val="single" w:color="auto" w:sz="4" w:space="0"/>
              <w:bottom w:val="single" w:color="auto" w:sz="4" w:space="0"/>
              <w:right w:val="single" w:color="auto" w:sz="4" w:space="0"/>
            </w:tcBorders>
            <w:noWrap/>
            <w:vAlign w:val="center"/>
          </w:tcPr>
          <w:p w14:paraId="74EC3960">
            <w:pPr>
              <w:widowControl/>
              <w:jc w:val="center"/>
              <w:rPr>
                <w:rFonts w:ascii="仿宋_GB2312" w:hAnsi="宋体" w:eastAsia="仿宋_GB2312" w:cs="宋体"/>
                <w:color w:val="000000"/>
                <w:kern w:val="0"/>
                <w:sz w:val="24"/>
              </w:rPr>
            </w:pPr>
            <w:r>
              <w:rPr>
                <w:rFonts w:ascii="仿宋_GB2312" w:hAnsi="等线" w:eastAsia="仿宋_GB2312"/>
                <w:color w:val="000000"/>
                <w:sz w:val="24"/>
              </w:rPr>
              <w:t>8091</w:t>
            </w:r>
          </w:p>
        </w:tc>
        <w:tc>
          <w:tcPr>
            <w:tcW w:w="1896" w:type="dxa"/>
            <w:tcBorders>
              <w:top w:val="single" w:color="auto" w:sz="4" w:space="0"/>
              <w:left w:val="single" w:color="auto" w:sz="4" w:space="0"/>
              <w:bottom w:val="single" w:color="auto" w:sz="4" w:space="0"/>
              <w:right w:val="single" w:color="auto" w:sz="4" w:space="0"/>
            </w:tcBorders>
            <w:noWrap/>
            <w:vAlign w:val="center"/>
          </w:tcPr>
          <w:p w14:paraId="25620A4B">
            <w:pPr>
              <w:widowControl/>
              <w:jc w:val="center"/>
              <w:rPr>
                <w:rFonts w:ascii="仿宋_GB2312" w:hAnsi="宋体" w:eastAsia="仿宋_GB2312" w:cs="宋体"/>
                <w:color w:val="000000"/>
                <w:kern w:val="0"/>
                <w:sz w:val="24"/>
              </w:rPr>
            </w:pPr>
            <w:r>
              <w:rPr>
                <w:rFonts w:ascii="仿宋_GB2312" w:hAnsi="等线" w:eastAsia="仿宋_GB2312"/>
                <w:color w:val="000000"/>
                <w:sz w:val="24"/>
              </w:rPr>
              <w:t>2314</w:t>
            </w:r>
          </w:p>
        </w:tc>
        <w:tc>
          <w:tcPr>
            <w:tcW w:w="1501" w:type="dxa"/>
            <w:tcBorders>
              <w:top w:val="single" w:color="auto" w:sz="4" w:space="0"/>
              <w:left w:val="single" w:color="auto" w:sz="4" w:space="0"/>
              <w:bottom w:val="single" w:color="auto" w:sz="4" w:space="0"/>
              <w:right w:val="single" w:color="auto" w:sz="4" w:space="0"/>
            </w:tcBorders>
            <w:noWrap/>
            <w:vAlign w:val="center"/>
          </w:tcPr>
          <w:p w14:paraId="3D31A0CF">
            <w:pPr>
              <w:widowControl/>
              <w:jc w:val="center"/>
              <w:rPr>
                <w:rFonts w:ascii="仿宋_GB2312" w:hAnsi="宋体" w:eastAsia="仿宋_GB2312" w:cs="宋体"/>
                <w:color w:val="000000"/>
                <w:kern w:val="0"/>
                <w:sz w:val="24"/>
              </w:rPr>
            </w:pPr>
            <w:r>
              <w:rPr>
                <w:rFonts w:ascii="仿宋_GB2312" w:hAnsi="等线" w:eastAsia="仿宋_GB2312"/>
                <w:color w:val="000000"/>
                <w:sz w:val="24"/>
              </w:rPr>
              <w:t>8067</w:t>
            </w:r>
          </w:p>
        </w:tc>
        <w:tc>
          <w:tcPr>
            <w:tcW w:w="1354" w:type="dxa"/>
            <w:tcBorders>
              <w:top w:val="single" w:color="auto" w:sz="4" w:space="0"/>
              <w:left w:val="single" w:color="auto" w:sz="4" w:space="0"/>
              <w:bottom w:val="single" w:color="auto" w:sz="4" w:space="0"/>
              <w:right w:val="single" w:color="auto" w:sz="4" w:space="0"/>
            </w:tcBorders>
            <w:noWrap/>
            <w:vAlign w:val="center"/>
          </w:tcPr>
          <w:p w14:paraId="33F2FC91">
            <w:pPr>
              <w:widowControl/>
              <w:jc w:val="center"/>
              <w:rPr>
                <w:rFonts w:ascii="仿宋_GB2312" w:hAnsi="宋体" w:eastAsia="仿宋_GB2312" w:cs="宋体"/>
                <w:color w:val="000000"/>
                <w:kern w:val="0"/>
                <w:sz w:val="24"/>
              </w:rPr>
            </w:pPr>
            <w:r>
              <w:rPr>
                <w:rFonts w:ascii="仿宋_GB2312" w:hAnsi="等线" w:eastAsia="仿宋_GB2312"/>
                <w:color w:val="000000"/>
                <w:sz w:val="24"/>
              </w:rPr>
              <w:t>3150</w:t>
            </w:r>
          </w:p>
        </w:tc>
      </w:tr>
      <w:tr w14:paraId="642C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37" w:type="dxa"/>
            <w:tcBorders>
              <w:top w:val="single" w:color="auto" w:sz="4" w:space="0"/>
              <w:left w:val="single" w:color="auto" w:sz="4" w:space="0"/>
              <w:bottom w:val="single" w:color="auto" w:sz="4" w:space="0"/>
              <w:right w:val="single" w:color="auto" w:sz="4" w:space="0"/>
            </w:tcBorders>
            <w:noWrap/>
            <w:vAlign w:val="center"/>
          </w:tcPr>
          <w:p w14:paraId="494B875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418" w:type="dxa"/>
            <w:tcBorders>
              <w:top w:val="single" w:color="auto" w:sz="4" w:space="0"/>
              <w:left w:val="single" w:color="auto" w:sz="4" w:space="0"/>
              <w:bottom w:val="single" w:color="auto" w:sz="4" w:space="0"/>
              <w:right w:val="single" w:color="auto" w:sz="4" w:space="0"/>
            </w:tcBorders>
            <w:noWrap/>
            <w:vAlign w:val="center"/>
          </w:tcPr>
          <w:p w14:paraId="7193B01A">
            <w:pPr>
              <w:widowControl/>
              <w:jc w:val="center"/>
              <w:rPr>
                <w:rFonts w:ascii="仿宋_GB2312" w:hAnsi="宋体" w:eastAsia="仿宋_GB2312" w:cs="宋体"/>
                <w:color w:val="000000"/>
                <w:kern w:val="0"/>
                <w:sz w:val="24"/>
              </w:rPr>
            </w:pPr>
            <w:r>
              <w:rPr>
                <w:rFonts w:hint="eastAsia" w:ascii="仿宋_GB2312" w:hAnsi="宋体" w:eastAsia="仿宋_GB2312"/>
                <w:color w:val="000000"/>
                <w:sz w:val="24"/>
              </w:rPr>
              <w:t>52</w:t>
            </w:r>
          </w:p>
        </w:tc>
        <w:tc>
          <w:tcPr>
            <w:tcW w:w="1396" w:type="dxa"/>
            <w:tcBorders>
              <w:top w:val="single" w:color="auto" w:sz="4" w:space="0"/>
              <w:left w:val="single" w:color="auto" w:sz="4" w:space="0"/>
              <w:bottom w:val="single" w:color="auto" w:sz="4" w:space="0"/>
              <w:right w:val="single" w:color="auto" w:sz="4" w:space="0"/>
            </w:tcBorders>
            <w:noWrap/>
            <w:vAlign w:val="center"/>
          </w:tcPr>
          <w:p w14:paraId="49D7C8AF">
            <w:pPr>
              <w:widowControl/>
              <w:jc w:val="center"/>
              <w:rPr>
                <w:rFonts w:ascii="仿宋_GB2312" w:hAnsi="宋体" w:eastAsia="仿宋_GB2312" w:cs="宋体"/>
                <w:color w:val="000000"/>
                <w:kern w:val="0"/>
                <w:sz w:val="24"/>
              </w:rPr>
            </w:pPr>
            <w:r>
              <w:rPr>
                <w:rFonts w:ascii="仿宋_GB2312" w:hAnsi="等线" w:eastAsia="仿宋_GB2312"/>
                <w:color w:val="000000"/>
                <w:sz w:val="24"/>
              </w:rPr>
              <w:t>44983</w:t>
            </w:r>
          </w:p>
        </w:tc>
        <w:tc>
          <w:tcPr>
            <w:tcW w:w="1896" w:type="dxa"/>
            <w:tcBorders>
              <w:top w:val="single" w:color="auto" w:sz="4" w:space="0"/>
              <w:left w:val="single" w:color="auto" w:sz="4" w:space="0"/>
              <w:bottom w:val="single" w:color="auto" w:sz="4" w:space="0"/>
              <w:right w:val="single" w:color="auto" w:sz="4" w:space="0"/>
            </w:tcBorders>
            <w:noWrap/>
            <w:vAlign w:val="center"/>
          </w:tcPr>
          <w:p w14:paraId="763AC97F">
            <w:pPr>
              <w:widowControl/>
              <w:jc w:val="center"/>
              <w:rPr>
                <w:rFonts w:ascii="仿宋_GB2312" w:hAnsi="宋体" w:eastAsia="仿宋_GB2312" w:cs="宋体"/>
                <w:color w:val="000000"/>
                <w:kern w:val="0"/>
                <w:sz w:val="24"/>
              </w:rPr>
            </w:pPr>
            <w:r>
              <w:rPr>
                <w:rFonts w:ascii="仿宋_GB2312" w:hAnsi="等线" w:eastAsia="仿宋_GB2312"/>
                <w:color w:val="000000"/>
                <w:sz w:val="24"/>
              </w:rPr>
              <w:t>12719</w:t>
            </w:r>
          </w:p>
        </w:tc>
        <w:tc>
          <w:tcPr>
            <w:tcW w:w="1501" w:type="dxa"/>
            <w:tcBorders>
              <w:top w:val="single" w:color="auto" w:sz="4" w:space="0"/>
              <w:left w:val="single" w:color="auto" w:sz="4" w:space="0"/>
              <w:bottom w:val="single" w:color="auto" w:sz="4" w:space="0"/>
              <w:right w:val="single" w:color="auto" w:sz="4" w:space="0"/>
            </w:tcBorders>
            <w:noWrap/>
            <w:vAlign w:val="center"/>
          </w:tcPr>
          <w:p w14:paraId="48510ADE">
            <w:pPr>
              <w:widowControl/>
              <w:jc w:val="center"/>
              <w:rPr>
                <w:rFonts w:ascii="仿宋_GB2312" w:hAnsi="宋体" w:eastAsia="仿宋_GB2312" w:cs="宋体"/>
                <w:color w:val="000000"/>
                <w:kern w:val="0"/>
                <w:sz w:val="24"/>
              </w:rPr>
            </w:pPr>
            <w:r>
              <w:rPr>
                <w:rFonts w:ascii="仿宋_GB2312" w:hAnsi="等线" w:eastAsia="仿宋_GB2312"/>
                <w:color w:val="000000"/>
                <w:sz w:val="24"/>
              </w:rPr>
              <w:t>37402</w:t>
            </w:r>
          </w:p>
        </w:tc>
        <w:tc>
          <w:tcPr>
            <w:tcW w:w="1354" w:type="dxa"/>
            <w:tcBorders>
              <w:top w:val="single" w:color="auto" w:sz="4" w:space="0"/>
              <w:left w:val="single" w:color="auto" w:sz="4" w:space="0"/>
              <w:bottom w:val="single" w:color="auto" w:sz="4" w:space="0"/>
              <w:right w:val="single" w:color="auto" w:sz="4" w:space="0"/>
            </w:tcBorders>
            <w:noWrap/>
            <w:vAlign w:val="center"/>
          </w:tcPr>
          <w:p w14:paraId="681AB8B1">
            <w:pPr>
              <w:widowControl/>
              <w:jc w:val="center"/>
              <w:rPr>
                <w:rFonts w:ascii="仿宋_GB2312" w:hAnsi="宋体" w:eastAsia="仿宋_GB2312" w:cs="宋体"/>
                <w:color w:val="000000"/>
                <w:kern w:val="0"/>
                <w:sz w:val="24"/>
              </w:rPr>
            </w:pPr>
            <w:r>
              <w:rPr>
                <w:rFonts w:ascii="仿宋_GB2312" w:hAnsi="等线" w:eastAsia="仿宋_GB2312"/>
                <w:color w:val="000000"/>
                <w:sz w:val="24"/>
              </w:rPr>
              <w:t>8050</w:t>
            </w:r>
          </w:p>
        </w:tc>
      </w:tr>
    </w:tbl>
    <w:p w14:paraId="606C30D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（3）项目融资金额及利率</w:t>
      </w:r>
    </w:p>
    <w:p w14:paraId="0A743FF3">
      <w:pPr>
        <w:ind w:firstLine="560" w:firstLineChars="200"/>
        <w:jc w:val="left"/>
        <w:rPr>
          <w:rFonts w:ascii="仿宋" w:hAnsi="仿宋" w:eastAsia="仿宋" w:cs="仿宋"/>
          <w:sz w:val="28"/>
          <w:szCs w:val="28"/>
        </w:rPr>
      </w:pPr>
      <w:r>
        <w:rPr>
          <w:rFonts w:hint="eastAsia" w:ascii="仿宋" w:hAnsi="仿宋" w:eastAsia="仿宋" w:cs="仿宋"/>
          <w:sz w:val="28"/>
          <w:szCs w:val="28"/>
        </w:rPr>
        <w:t>项目资本金按估算投资的20%计算，约为</w:t>
      </w:r>
      <w:r>
        <w:rPr>
          <w:rFonts w:ascii="仿宋" w:hAnsi="仿宋" w:eastAsia="仿宋" w:cs="仿宋"/>
          <w:sz w:val="28"/>
          <w:szCs w:val="28"/>
        </w:rPr>
        <w:t>2254</w:t>
      </w:r>
      <w:r>
        <w:rPr>
          <w:rFonts w:hint="eastAsia" w:ascii="仿宋" w:hAnsi="仿宋" w:eastAsia="仿宋" w:cs="仿宋"/>
          <w:sz w:val="28"/>
          <w:szCs w:val="28"/>
        </w:rPr>
        <w:t>万元；融资</w:t>
      </w:r>
      <w:r>
        <w:rPr>
          <w:rFonts w:ascii="仿宋" w:hAnsi="仿宋" w:eastAsia="仿宋" w:cs="仿宋"/>
          <w:sz w:val="28"/>
          <w:szCs w:val="28"/>
        </w:rPr>
        <w:t>8746</w:t>
      </w:r>
      <w:r>
        <w:rPr>
          <w:rFonts w:hint="eastAsia" w:ascii="仿宋" w:hAnsi="仿宋" w:eastAsia="仿宋" w:cs="仿宋"/>
          <w:sz w:val="28"/>
          <w:szCs w:val="28"/>
        </w:rPr>
        <w:t>万元。融资利率按</w:t>
      </w:r>
      <w:r>
        <w:rPr>
          <w:rFonts w:ascii="仿宋" w:hAnsi="仿宋" w:eastAsia="仿宋" w:cs="仿宋"/>
          <w:sz w:val="28"/>
          <w:szCs w:val="28"/>
        </w:rPr>
        <w:t>中国人民银行授权全国银行间同业拆借中心公布</w:t>
      </w:r>
      <w:r>
        <w:rPr>
          <w:rFonts w:hint="eastAsia" w:ascii="仿宋" w:hAnsi="仿宋" w:eastAsia="仿宋" w:cs="仿宋"/>
          <w:sz w:val="28"/>
          <w:szCs w:val="28"/>
        </w:rPr>
        <w:t>的最新的</w:t>
      </w:r>
      <w:r>
        <w:rPr>
          <w:rFonts w:ascii="仿宋" w:hAnsi="仿宋" w:eastAsia="仿宋" w:cs="仿宋"/>
          <w:sz w:val="28"/>
          <w:szCs w:val="28"/>
        </w:rPr>
        <w:t>5年期以上LPR</w:t>
      </w:r>
      <w:r>
        <w:rPr>
          <w:rFonts w:hint="eastAsia" w:ascii="仿宋" w:hAnsi="仿宋" w:eastAsia="仿宋" w:cs="仿宋"/>
          <w:sz w:val="28"/>
          <w:szCs w:val="28"/>
        </w:rPr>
        <w:t>（</w:t>
      </w:r>
      <w:r>
        <w:rPr>
          <w:rFonts w:ascii="仿宋" w:hAnsi="仿宋" w:eastAsia="仿宋" w:cs="仿宋"/>
          <w:sz w:val="28"/>
          <w:szCs w:val="28"/>
        </w:rPr>
        <w:t>3.6%</w:t>
      </w:r>
      <w:r>
        <w:rPr>
          <w:rFonts w:hint="eastAsia" w:ascii="仿宋" w:hAnsi="仿宋" w:eastAsia="仿宋" w:cs="仿宋"/>
          <w:sz w:val="28"/>
          <w:szCs w:val="28"/>
        </w:rPr>
        <w:t>）计算，贷款期限按</w:t>
      </w:r>
      <w:r>
        <w:rPr>
          <w:rFonts w:ascii="仿宋" w:hAnsi="仿宋" w:eastAsia="仿宋" w:cs="仿宋"/>
          <w:sz w:val="28"/>
          <w:szCs w:val="28"/>
        </w:rPr>
        <w:t>3</w:t>
      </w:r>
      <w:r>
        <w:rPr>
          <w:rFonts w:hint="eastAsia" w:ascii="仿宋" w:hAnsi="仿宋" w:eastAsia="仿宋" w:cs="仿宋"/>
          <w:sz w:val="28"/>
          <w:szCs w:val="28"/>
        </w:rPr>
        <w:t>0年计，还款方式按等额本息计算。</w:t>
      </w:r>
    </w:p>
    <w:p w14:paraId="117D68E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（4）项目直接运营成本</w:t>
      </w:r>
    </w:p>
    <w:p w14:paraId="3F9E3FE5">
      <w:pPr>
        <w:ind w:firstLine="560" w:firstLineChars="200"/>
        <w:jc w:val="left"/>
        <w:rPr>
          <w:rFonts w:ascii="仿宋" w:hAnsi="仿宋" w:eastAsia="仿宋" w:cs="仿宋"/>
          <w:sz w:val="28"/>
          <w:szCs w:val="28"/>
        </w:rPr>
      </w:pPr>
      <w:r>
        <w:rPr>
          <w:rFonts w:hint="eastAsia" w:ascii="仿宋" w:hAnsi="仿宋" w:eastAsia="仿宋" w:cs="仿宋"/>
          <w:sz w:val="28"/>
          <w:szCs w:val="28"/>
        </w:rPr>
        <w:t>将本项目分为分散式农村生活污水治理工程，指设立独立处理设施的污水治理系统，指本项目中2</w:t>
      </w:r>
      <w:r>
        <w:rPr>
          <w:rFonts w:ascii="仿宋" w:hAnsi="仿宋" w:eastAsia="仿宋" w:cs="仿宋"/>
          <w:sz w:val="28"/>
          <w:szCs w:val="28"/>
        </w:rPr>
        <w:t>3</w:t>
      </w:r>
      <w:r>
        <w:rPr>
          <w:rFonts w:hint="eastAsia" w:ascii="仿宋" w:hAnsi="仿宋" w:eastAsia="仿宋" w:cs="仿宋"/>
          <w:sz w:val="28"/>
          <w:szCs w:val="28"/>
        </w:rPr>
        <w:t>个设置人工湿地、一体化设施或资源化利用设施的项目，参照《广州市农村污水治理设施维修养护年度费用估算指标》，按污水处理设施覆盖常住人口进行估算。</w:t>
      </w:r>
    </w:p>
    <w:p w14:paraId="12686123">
      <w:pPr>
        <w:ind w:firstLine="560" w:firstLineChars="200"/>
        <w:jc w:val="left"/>
        <w:rPr>
          <w:rFonts w:ascii="仿宋" w:hAnsi="仿宋" w:eastAsia="仿宋" w:cs="仿宋"/>
          <w:sz w:val="28"/>
          <w:szCs w:val="28"/>
        </w:rPr>
      </w:pPr>
      <w:r>
        <w:rPr>
          <w:rFonts w:hint="eastAsia" w:ascii="仿宋" w:hAnsi="仿宋" w:eastAsia="仿宋" w:cs="仿宋"/>
          <w:sz w:val="28"/>
          <w:szCs w:val="28"/>
        </w:rPr>
        <w:t>剩余</w:t>
      </w:r>
      <w:r>
        <w:rPr>
          <w:rFonts w:ascii="仿宋" w:hAnsi="仿宋" w:eastAsia="仿宋" w:cs="仿宋"/>
          <w:sz w:val="28"/>
          <w:szCs w:val="28"/>
        </w:rPr>
        <w:t>29</w:t>
      </w:r>
      <w:r>
        <w:rPr>
          <w:rFonts w:hint="eastAsia" w:ascii="仿宋" w:hAnsi="仿宋" w:eastAsia="仿宋" w:cs="仿宋"/>
          <w:sz w:val="28"/>
          <w:szCs w:val="28"/>
        </w:rPr>
        <w:t>个纳入城镇污水处理厂集中处理的管网项目，则参照其他小型市政污水管网项目的运维费用进行估算。</w:t>
      </w:r>
    </w:p>
    <w:p w14:paraId="5217114B">
      <w:pPr>
        <w:ind w:firstLine="560" w:firstLineChars="200"/>
        <w:jc w:val="left"/>
        <w:rPr>
          <w:rFonts w:ascii="仿宋" w:hAnsi="仿宋" w:eastAsia="仿宋" w:cs="仿宋"/>
          <w:sz w:val="28"/>
          <w:szCs w:val="28"/>
        </w:rPr>
      </w:pPr>
      <w:r>
        <w:rPr>
          <w:rFonts w:hint="eastAsia" w:ascii="仿宋" w:hAnsi="仿宋" w:eastAsia="仿宋" w:cs="仿宋"/>
          <w:sz w:val="28"/>
          <w:szCs w:val="28"/>
        </w:rPr>
        <w:t>具体成本项及估算说明如下表：</w:t>
      </w:r>
    </w:p>
    <w:p w14:paraId="4969695F">
      <w:pPr>
        <w:pStyle w:val="17"/>
        <w:widowControl/>
        <w:shd w:val="clear" w:color="auto" w:fill="FFFFFF"/>
        <w:spacing w:beforeAutospacing="0" w:afterAutospacing="0"/>
        <w:ind w:firstLine="562"/>
        <w:jc w:val="center"/>
        <w:rPr>
          <w:rFonts w:ascii="Times New Roman Regular" w:hAnsi="Times New Roman Regular" w:eastAsia="仿宋_GB2312" w:cs="Times New Roman Regular"/>
          <w:b/>
          <w:bCs/>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b/>
          <w:bCs/>
          <w:color w:val="000000" w:themeColor="text1"/>
          <w:sz w:val="28"/>
          <w:szCs w:val="28"/>
          <w14:textFill>
            <w14:solidFill>
              <w14:schemeClr w14:val="tx1"/>
            </w14:solidFill>
          </w14:textFill>
        </w:rPr>
        <w:t>表3</w:t>
      </w:r>
      <w:r>
        <w:rPr>
          <w:rFonts w:ascii="Times New Roman Regular" w:hAnsi="Times New Roman Regular" w:eastAsia="仿宋_GB2312" w:cs="Times New Roman Regular"/>
          <w:b/>
          <w:bCs/>
          <w:color w:val="000000" w:themeColor="text1"/>
          <w:sz w:val="28"/>
          <w:szCs w:val="28"/>
          <w14:textFill>
            <w14:solidFill>
              <w14:schemeClr w14:val="tx1"/>
            </w14:solidFill>
          </w14:textFill>
        </w:rPr>
        <w:t xml:space="preserve">-5 </w:t>
      </w:r>
      <w:r>
        <w:rPr>
          <w:rFonts w:hint="eastAsia" w:ascii="Times New Roman Regular" w:hAnsi="Times New Roman Regular" w:eastAsia="仿宋_GB2312" w:cs="Times New Roman Regular"/>
          <w:b/>
          <w:bCs/>
          <w:color w:val="000000" w:themeColor="text1"/>
          <w:sz w:val="28"/>
          <w:szCs w:val="28"/>
          <w14:textFill>
            <w14:solidFill>
              <w14:schemeClr w14:val="tx1"/>
            </w14:solidFill>
          </w14:textFill>
        </w:rPr>
        <w:t>直接成本估算说明</w:t>
      </w:r>
    </w:p>
    <w:tbl>
      <w:tblPr>
        <w:tblStyle w:val="18"/>
        <w:tblW w:w="92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972"/>
        <w:gridCol w:w="636"/>
        <w:gridCol w:w="741"/>
        <w:gridCol w:w="741"/>
        <w:gridCol w:w="846"/>
        <w:gridCol w:w="957"/>
        <w:gridCol w:w="3785"/>
      </w:tblGrid>
      <w:tr w14:paraId="0CF7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1" w:type="dxa"/>
            <w:shd w:val="clear" w:color="auto" w:fill="auto"/>
            <w:noWrap/>
            <w:vAlign w:val="center"/>
          </w:tcPr>
          <w:p w14:paraId="1CB759DA">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972" w:type="dxa"/>
            <w:shd w:val="clear" w:color="auto" w:fill="auto"/>
            <w:noWrap/>
            <w:vAlign w:val="center"/>
          </w:tcPr>
          <w:p w14:paraId="40FED3F7">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w:t>
            </w:r>
          </w:p>
        </w:tc>
        <w:tc>
          <w:tcPr>
            <w:tcW w:w="636" w:type="dxa"/>
            <w:shd w:val="clear" w:color="auto" w:fill="auto"/>
            <w:noWrap/>
            <w:vAlign w:val="center"/>
          </w:tcPr>
          <w:p w14:paraId="0B16876C">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41" w:type="dxa"/>
            <w:shd w:val="clear" w:color="auto" w:fill="auto"/>
            <w:noWrap/>
            <w:vAlign w:val="center"/>
          </w:tcPr>
          <w:p w14:paraId="7A55E1CB">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单价</w:t>
            </w:r>
          </w:p>
        </w:tc>
        <w:tc>
          <w:tcPr>
            <w:tcW w:w="741" w:type="dxa"/>
            <w:shd w:val="clear" w:color="auto" w:fill="auto"/>
            <w:noWrap/>
            <w:vAlign w:val="center"/>
          </w:tcPr>
          <w:p w14:paraId="4BC4255A">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w:t>
            </w:r>
          </w:p>
        </w:tc>
        <w:tc>
          <w:tcPr>
            <w:tcW w:w="846" w:type="dxa"/>
            <w:shd w:val="clear" w:color="auto" w:fill="auto"/>
            <w:noWrap/>
            <w:vAlign w:val="center"/>
          </w:tcPr>
          <w:p w14:paraId="3ED9CA3B">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年平均（万元）</w:t>
            </w:r>
          </w:p>
        </w:tc>
        <w:tc>
          <w:tcPr>
            <w:tcW w:w="957" w:type="dxa"/>
            <w:shd w:val="clear" w:color="auto" w:fill="auto"/>
            <w:vAlign w:val="center"/>
          </w:tcPr>
          <w:p w14:paraId="44301FC9">
            <w:pPr>
              <w:widowControl/>
              <w:spacing w:line="276"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30年累计（万元）</w:t>
            </w:r>
          </w:p>
        </w:tc>
        <w:tc>
          <w:tcPr>
            <w:tcW w:w="3785" w:type="dxa"/>
            <w:shd w:val="clear" w:color="auto" w:fill="auto"/>
            <w:vAlign w:val="center"/>
          </w:tcPr>
          <w:p w14:paraId="05404082">
            <w:pPr>
              <w:widowControl/>
              <w:spacing w:line="276" w:lineRule="auto"/>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　</w:t>
            </w:r>
          </w:p>
        </w:tc>
      </w:tr>
      <w:tr w14:paraId="268A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531" w:type="dxa"/>
            <w:shd w:val="clear" w:color="auto" w:fill="auto"/>
            <w:noWrap/>
            <w:vAlign w:val="center"/>
          </w:tcPr>
          <w:p w14:paraId="2A45EB1F">
            <w:pPr>
              <w:widowControl/>
              <w:spacing w:line="276"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w:t>
            </w:r>
          </w:p>
        </w:tc>
        <w:tc>
          <w:tcPr>
            <w:tcW w:w="972" w:type="dxa"/>
            <w:shd w:val="clear" w:color="auto" w:fill="auto"/>
            <w:noWrap/>
            <w:vAlign w:val="center"/>
          </w:tcPr>
          <w:p w14:paraId="5759C35A">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人工湿地、资源化利用及一体化设施的运维费</w:t>
            </w:r>
          </w:p>
        </w:tc>
        <w:tc>
          <w:tcPr>
            <w:tcW w:w="636" w:type="dxa"/>
            <w:shd w:val="clear" w:color="auto" w:fill="auto"/>
            <w:noWrap/>
            <w:vAlign w:val="center"/>
          </w:tcPr>
          <w:p w14:paraId="29A82B4A">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（元</w:t>
            </w:r>
            <w:r>
              <w:rPr>
                <w:rFonts w:ascii="仿宋_GB2312" w:hAnsi="宋体" w:eastAsia="仿宋_GB2312" w:cs="宋体"/>
                <w:color w:val="000000"/>
                <w:kern w:val="0"/>
                <w:szCs w:val="21"/>
              </w:rPr>
              <w:t>/人</w:t>
            </w:r>
            <w:r>
              <w:rPr>
                <w:rFonts w:hint="eastAsia" w:ascii="微软雅黑" w:hAnsi="微软雅黑" w:eastAsia="微软雅黑" w:cs="微软雅黑"/>
                <w:color w:val="000000"/>
                <w:kern w:val="0"/>
                <w:szCs w:val="21"/>
              </w:rPr>
              <w:t>•</w:t>
            </w:r>
            <w:r>
              <w:rPr>
                <w:rFonts w:hint="eastAsia" w:ascii="仿宋_GB2312" w:hAnsi="仿宋_GB2312" w:eastAsia="仿宋_GB2312" w:cs="仿宋_GB2312"/>
                <w:color w:val="000000"/>
                <w:kern w:val="0"/>
                <w:szCs w:val="21"/>
              </w:rPr>
              <w:t>年）</w:t>
            </w:r>
          </w:p>
        </w:tc>
        <w:tc>
          <w:tcPr>
            <w:tcW w:w="741" w:type="dxa"/>
            <w:shd w:val="clear" w:color="auto" w:fill="auto"/>
            <w:noWrap/>
            <w:vAlign w:val="center"/>
          </w:tcPr>
          <w:p w14:paraId="33917652">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27.02</w:t>
            </w:r>
          </w:p>
        </w:tc>
        <w:tc>
          <w:tcPr>
            <w:tcW w:w="741" w:type="dxa"/>
            <w:shd w:val="clear" w:color="auto" w:fill="auto"/>
            <w:noWrap/>
            <w:vAlign w:val="center"/>
          </w:tcPr>
          <w:p w14:paraId="6E7509B8">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8091</w:t>
            </w:r>
          </w:p>
        </w:tc>
        <w:tc>
          <w:tcPr>
            <w:tcW w:w="846" w:type="dxa"/>
            <w:shd w:val="clear" w:color="auto" w:fill="auto"/>
            <w:noWrap/>
            <w:vAlign w:val="center"/>
          </w:tcPr>
          <w:p w14:paraId="1B02C132">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21.86</w:t>
            </w:r>
          </w:p>
        </w:tc>
        <w:tc>
          <w:tcPr>
            <w:tcW w:w="957" w:type="dxa"/>
            <w:shd w:val="clear" w:color="auto" w:fill="auto"/>
            <w:vAlign w:val="center"/>
          </w:tcPr>
          <w:p w14:paraId="53BA5DA0">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655.86</w:t>
            </w:r>
          </w:p>
        </w:tc>
        <w:tc>
          <w:tcPr>
            <w:tcW w:w="3785" w:type="dxa"/>
            <w:shd w:val="clear" w:color="auto" w:fill="auto"/>
            <w:vAlign w:val="center"/>
          </w:tcPr>
          <w:p w14:paraId="2FA6A163">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参照《广州市农村污水治理设施维修养护年度费用估算指标》中的年度养护费用标准（扣除管理费），按单价27.02元/人</w:t>
            </w:r>
            <w:r>
              <w:rPr>
                <w:rFonts w:hint="eastAsia" w:ascii="微软雅黑" w:hAnsi="微软雅黑" w:eastAsia="微软雅黑" w:cs="微软雅黑"/>
                <w:color w:val="000000"/>
                <w:kern w:val="0"/>
                <w:szCs w:val="21"/>
              </w:rPr>
              <w:t>•</w:t>
            </w:r>
            <w:r>
              <w:rPr>
                <w:rFonts w:hint="eastAsia" w:ascii="仿宋_GB2312" w:hAnsi="仿宋_GB2312" w:eastAsia="仿宋_GB2312" w:cs="仿宋_GB2312"/>
                <w:color w:val="000000"/>
                <w:kern w:val="0"/>
                <w:szCs w:val="21"/>
              </w:rPr>
              <w:t>年</w:t>
            </w:r>
            <w:r>
              <w:rPr>
                <w:rFonts w:hint="eastAsia" w:ascii="仿宋_GB2312" w:hAnsi="宋体" w:eastAsia="仿宋_GB2312" w:cs="宋体"/>
                <w:color w:val="000000"/>
                <w:kern w:val="0"/>
                <w:szCs w:val="21"/>
              </w:rPr>
              <w:t>,乘以人工湿地和资源化利用设施覆盖常住人口8091人</w:t>
            </w:r>
          </w:p>
        </w:tc>
      </w:tr>
      <w:tr w14:paraId="49BC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31" w:type="dxa"/>
            <w:shd w:val="clear" w:color="auto" w:fill="auto"/>
            <w:noWrap/>
            <w:vAlign w:val="center"/>
          </w:tcPr>
          <w:p w14:paraId="1B0B8D5C">
            <w:pPr>
              <w:widowControl/>
              <w:spacing w:line="276"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p>
        </w:tc>
        <w:tc>
          <w:tcPr>
            <w:tcW w:w="972" w:type="dxa"/>
            <w:shd w:val="clear" w:color="auto" w:fill="auto"/>
            <w:noWrap/>
            <w:vAlign w:val="center"/>
          </w:tcPr>
          <w:p w14:paraId="253AC064">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人工湿地、资源化利用及一体化设施维修费（含大修重置）</w:t>
            </w:r>
          </w:p>
        </w:tc>
        <w:tc>
          <w:tcPr>
            <w:tcW w:w="636" w:type="dxa"/>
            <w:shd w:val="clear" w:color="auto" w:fill="auto"/>
            <w:noWrap/>
            <w:vAlign w:val="center"/>
          </w:tcPr>
          <w:p w14:paraId="59F3781F">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（元</w:t>
            </w:r>
            <w:r>
              <w:rPr>
                <w:rFonts w:ascii="仿宋_GB2312" w:hAnsi="宋体" w:eastAsia="仿宋_GB2312" w:cs="宋体"/>
                <w:color w:val="000000"/>
                <w:kern w:val="0"/>
                <w:szCs w:val="21"/>
              </w:rPr>
              <w:t>/人</w:t>
            </w:r>
            <w:r>
              <w:rPr>
                <w:rFonts w:hint="eastAsia" w:ascii="微软雅黑" w:hAnsi="微软雅黑" w:eastAsia="微软雅黑" w:cs="微软雅黑"/>
                <w:color w:val="000000"/>
                <w:kern w:val="0"/>
                <w:szCs w:val="21"/>
              </w:rPr>
              <w:t>•</w:t>
            </w:r>
            <w:r>
              <w:rPr>
                <w:rFonts w:hint="eastAsia" w:ascii="仿宋_GB2312" w:hAnsi="仿宋_GB2312" w:eastAsia="仿宋_GB2312" w:cs="仿宋_GB2312"/>
                <w:color w:val="000000"/>
                <w:kern w:val="0"/>
                <w:szCs w:val="21"/>
              </w:rPr>
              <w:t>年）</w:t>
            </w:r>
          </w:p>
        </w:tc>
        <w:tc>
          <w:tcPr>
            <w:tcW w:w="741" w:type="dxa"/>
            <w:shd w:val="clear" w:color="auto" w:fill="auto"/>
            <w:noWrap/>
            <w:vAlign w:val="center"/>
          </w:tcPr>
          <w:p w14:paraId="6C541526">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28.82</w:t>
            </w:r>
          </w:p>
        </w:tc>
        <w:tc>
          <w:tcPr>
            <w:tcW w:w="741" w:type="dxa"/>
            <w:shd w:val="clear" w:color="auto" w:fill="auto"/>
            <w:noWrap/>
            <w:vAlign w:val="center"/>
          </w:tcPr>
          <w:p w14:paraId="70BC557A">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8091</w:t>
            </w:r>
          </w:p>
        </w:tc>
        <w:tc>
          <w:tcPr>
            <w:tcW w:w="846" w:type="dxa"/>
            <w:shd w:val="clear" w:color="auto" w:fill="auto"/>
            <w:noWrap/>
            <w:vAlign w:val="center"/>
          </w:tcPr>
          <w:p w14:paraId="04282122">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23.32</w:t>
            </w:r>
          </w:p>
        </w:tc>
        <w:tc>
          <w:tcPr>
            <w:tcW w:w="957" w:type="dxa"/>
            <w:shd w:val="clear" w:color="auto" w:fill="auto"/>
            <w:vAlign w:val="center"/>
          </w:tcPr>
          <w:p w14:paraId="128BD9EA">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699.55</w:t>
            </w:r>
          </w:p>
        </w:tc>
        <w:tc>
          <w:tcPr>
            <w:tcW w:w="3785" w:type="dxa"/>
            <w:shd w:val="clear" w:color="auto" w:fill="auto"/>
            <w:vAlign w:val="center"/>
          </w:tcPr>
          <w:p w14:paraId="1A33A134">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参照《广州市农村污水治理设施维修养护年度费用估算指标》中年度维修费标准（扣除其他费）， 按单价28.82元/人</w:t>
            </w:r>
            <w:r>
              <w:rPr>
                <w:rFonts w:hint="eastAsia" w:ascii="微软雅黑" w:hAnsi="微软雅黑" w:eastAsia="微软雅黑" w:cs="微软雅黑"/>
                <w:color w:val="000000"/>
                <w:kern w:val="0"/>
                <w:szCs w:val="21"/>
              </w:rPr>
              <w:t>•</w:t>
            </w:r>
            <w:r>
              <w:rPr>
                <w:rFonts w:hint="eastAsia" w:ascii="仿宋_GB2312" w:hAnsi="仿宋_GB2312" w:eastAsia="仿宋_GB2312" w:cs="仿宋_GB2312"/>
                <w:color w:val="000000"/>
                <w:kern w:val="0"/>
                <w:szCs w:val="21"/>
              </w:rPr>
              <w:t>年，乘以人工湿地和资源化利用设施覆盖常住人口</w:t>
            </w:r>
            <w:r>
              <w:rPr>
                <w:rFonts w:hint="eastAsia" w:ascii="仿宋_GB2312" w:hAnsi="宋体" w:eastAsia="仿宋_GB2312" w:cs="宋体"/>
                <w:color w:val="000000"/>
                <w:kern w:val="0"/>
                <w:szCs w:val="21"/>
              </w:rPr>
              <w:t>8091人</w:t>
            </w:r>
          </w:p>
        </w:tc>
      </w:tr>
      <w:tr w14:paraId="2BB3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31" w:type="dxa"/>
            <w:shd w:val="clear" w:color="auto" w:fill="auto"/>
            <w:noWrap/>
            <w:vAlign w:val="center"/>
          </w:tcPr>
          <w:p w14:paraId="4E8135F9">
            <w:pPr>
              <w:widowControl/>
              <w:spacing w:line="276"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972" w:type="dxa"/>
            <w:shd w:val="clear" w:color="auto" w:fill="auto"/>
            <w:noWrap/>
            <w:vAlign w:val="center"/>
          </w:tcPr>
          <w:p w14:paraId="4E005FE8">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管网运维费</w:t>
            </w:r>
          </w:p>
        </w:tc>
        <w:tc>
          <w:tcPr>
            <w:tcW w:w="636" w:type="dxa"/>
            <w:shd w:val="clear" w:color="auto" w:fill="auto"/>
            <w:noWrap/>
            <w:vAlign w:val="center"/>
          </w:tcPr>
          <w:p w14:paraId="7F6C27EF">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（元</w:t>
            </w:r>
            <w:r>
              <w:rPr>
                <w:rFonts w:ascii="仿宋_GB2312" w:hAnsi="宋体" w:eastAsia="仿宋_GB2312" w:cs="宋体"/>
                <w:color w:val="000000"/>
                <w:kern w:val="0"/>
                <w:szCs w:val="21"/>
              </w:rPr>
              <w:t>/m）</w:t>
            </w:r>
          </w:p>
        </w:tc>
        <w:tc>
          <w:tcPr>
            <w:tcW w:w="741" w:type="dxa"/>
            <w:shd w:val="clear" w:color="auto" w:fill="auto"/>
            <w:noWrap/>
            <w:vAlign w:val="center"/>
          </w:tcPr>
          <w:p w14:paraId="73450829">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41" w:type="dxa"/>
            <w:shd w:val="clear" w:color="auto" w:fill="auto"/>
            <w:noWrap/>
            <w:vAlign w:val="center"/>
          </w:tcPr>
          <w:p w14:paraId="3A571557">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34235</w:t>
            </w:r>
          </w:p>
        </w:tc>
        <w:tc>
          <w:tcPr>
            <w:tcW w:w="846" w:type="dxa"/>
            <w:shd w:val="clear" w:color="auto" w:fill="auto"/>
            <w:noWrap/>
            <w:vAlign w:val="center"/>
          </w:tcPr>
          <w:p w14:paraId="39DA7B9B">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41.08</w:t>
            </w:r>
          </w:p>
        </w:tc>
        <w:tc>
          <w:tcPr>
            <w:tcW w:w="957" w:type="dxa"/>
            <w:shd w:val="clear" w:color="auto" w:fill="auto"/>
            <w:vAlign w:val="center"/>
          </w:tcPr>
          <w:p w14:paraId="0DC4AA5A">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1232.46</w:t>
            </w:r>
          </w:p>
        </w:tc>
        <w:tc>
          <w:tcPr>
            <w:tcW w:w="3785" w:type="dxa"/>
            <w:shd w:val="clear" w:color="auto" w:fill="auto"/>
            <w:vAlign w:val="center"/>
          </w:tcPr>
          <w:p w14:paraId="4CC7E548">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按单价1.2万元/km </w:t>
            </w:r>
            <w:r>
              <w:rPr>
                <w:rFonts w:hint="eastAsia" w:ascii="微软雅黑" w:hAnsi="微软雅黑" w:eastAsia="微软雅黑" w:cs="微软雅黑"/>
                <w:color w:val="000000"/>
                <w:kern w:val="0"/>
                <w:szCs w:val="21"/>
              </w:rPr>
              <w:t>•</w:t>
            </w:r>
            <w:r>
              <w:rPr>
                <w:rFonts w:hint="eastAsia" w:ascii="仿宋_GB2312" w:hAnsi="仿宋_GB2312" w:eastAsia="仿宋_GB2312" w:cs="仿宋_GB2312"/>
                <w:color w:val="000000"/>
                <w:kern w:val="0"/>
                <w:szCs w:val="21"/>
              </w:rPr>
              <w:t>年，乘以纳厂管渠长度</w:t>
            </w:r>
            <w:r>
              <w:rPr>
                <w:rFonts w:hint="eastAsia" w:ascii="仿宋_GB2312" w:hAnsi="宋体" w:eastAsia="仿宋_GB2312" w:cs="宋体"/>
                <w:color w:val="000000"/>
                <w:kern w:val="0"/>
                <w:szCs w:val="21"/>
              </w:rPr>
              <w:t>34.2km</w:t>
            </w:r>
          </w:p>
        </w:tc>
      </w:tr>
      <w:tr w14:paraId="558B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1" w:type="dxa"/>
            <w:shd w:val="clear" w:color="auto" w:fill="auto"/>
            <w:noWrap/>
            <w:vAlign w:val="center"/>
          </w:tcPr>
          <w:p w14:paraId="3021083A">
            <w:pPr>
              <w:widowControl/>
              <w:spacing w:line="276"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972" w:type="dxa"/>
            <w:shd w:val="clear" w:color="auto" w:fill="auto"/>
            <w:noWrap/>
            <w:vAlign w:val="center"/>
          </w:tcPr>
          <w:p w14:paraId="7E457395">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管网大中修费</w:t>
            </w:r>
          </w:p>
        </w:tc>
        <w:tc>
          <w:tcPr>
            <w:tcW w:w="636" w:type="dxa"/>
            <w:shd w:val="clear" w:color="auto" w:fill="auto"/>
            <w:noWrap/>
            <w:vAlign w:val="center"/>
          </w:tcPr>
          <w:p w14:paraId="49700527">
            <w:pPr>
              <w:widowControl/>
              <w:spacing w:line="276"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w:t>
            </w:r>
          </w:p>
        </w:tc>
        <w:tc>
          <w:tcPr>
            <w:tcW w:w="741" w:type="dxa"/>
            <w:shd w:val="clear" w:color="auto" w:fill="auto"/>
            <w:noWrap/>
            <w:vAlign w:val="center"/>
          </w:tcPr>
          <w:p w14:paraId="698283E7">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41" w:type="dxa"/>
            <w:shd w:val="clear" w:color="auto" w:fill="auto"/>
            <w:noWrap/>
            <w:vAlign w:val="center"/>
          </w:tcPr>
          <w:p w14:paraId="4F0B33D9">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10405</w:t>
            </w:r>
          </w:p>
        </w:tc>
        <w:tc>
          <w:tcPr>
            <w:tcW w:w="846" w:type="dxa"/>
            <w:shd w:val="clear" w:color="auto" w:fill="auto"/>
            <w:noWrap/>
            <w:vAlign w:val="center"/>
          </w:tcPr>
          <w:p w14:paraId="7BD0DA21">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104.05</w:t>
            </w:r>
          </w:p>
        </w:tc>
        <w:tc>
          <w:tcPr>
            <w:tcW w:w="957" w:type="dxa"/>
            <w:shd w:val="clear" w:color="auto" w:fill="auto"/>
            <w:vAlign w:val="center"/>
          </w:tcPr>
          <w:p w14:paraId="164D1D13">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3121.45</w:t>
            </w:r>
          </w:p>
        </w:tc>
        <w:tc>
          <w:tcPr>
            <w:tcW w:w="3785" w:type="dxa"/>
            <w:shd w:val="clear" w:color="auto" w:fill="auto"/>
            <w:vAlign w:val="center"/>
          </w:tcPr>
          <w:p w14:paraId="276129C3">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纳厂管网原建设投资额的1%计取</w:t>
            </w:r>
          </w:p>
        </w:tc>
      </w:tr>
      <w:tr w14:paraId="59E6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531" w:type="dxa"/>
            <w:shd w:val="clear" w:color="auto" w:fill="auto"/>
            <w:noWrap/>
            <w:vAlign w:val="center"/>
          </w:tcPr>
          <w:p w14:paraId="7106754B">
            <w:pPr>
              <w:widowControl/>
              <w:spacing w:line="276"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972" w:type="dxa"/>
            <w:shd w:val="clear" w:color="auto" w:fill="auto"/>
            <w:noWrap/>
            <w:vAlign w:val="center"/>
          </w:tcPr>
          <w:p w14:paraId="1FCEA5A6">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人工成本</w:t>
            </w:r>
          </w:p>
        </w:tc>
        <w:tc>
          <w:tcPr>
            <w:tcW w:w="636" w:type="dxa"/>
            <w:shd w:val="clear" w:color="auto" w:fill="auto"/>
            <w:noWrap/>
            <w:vAlign w:val="center"/>
          </w:tcPr>
          <w:p w14:paraId="55B59E41">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（元</w:t>
            </w:r>
            <w:r>
              <w:rPr>
                <w:rFonts w:ascii="仿宋_GB2312" w:hAnsi="宋体" w:eastAsia="仿宋_GB2312" w:cs="宋体"/>
                <w:color w:val="000000"/>
                <w:kern w:val="0"/>
                <w:szCs w:val="21"/>
              </w:rPr>
              <w:t>/人</w:t>
            </w:r>
            <w:r>
              <w:rPr>
                <w:rFonts w:hint="eastAsia" w:ascii="微软雅黑" w:hAnsi="微软雅黑" w:eastAsia="微软雅黑" w:cs="微软雅黑"/>
                <w:color w:val="000000"/>
                <w:kern w:val="0"/>
                <w:szCs w:val="21"/>
              </w:rPr>
              <w:t>•</w:t>
            </w:r>
            <w:r>
              <w:rPr>
                <w:rFonts w:hint="eastAsia" w:ascii="仿宋_GB2312" w:hAnsi="仿宋_GB2312" w:eastAsia="仿宋_GB2312" w:cs="仿宋_GB2312"/>
                <w:color w:val="000000"/>
                <w:kern w:val="0"/>
                <w:szCs w:val="21"/>
              </w:rPr>
              <w:t>年）</w:t>
            </w:r>
          </w:p>
        </w:tc>
        <w:tc>
          <w:tcPr>
            <w:tcW w:w="741" w:type="dxa"/>
            <w:shd w:val="clear" w:color="auto" w:fill="auto"/>
            <w:noWrap/>
            <w:vAlign w:val="center"/>
          </w:tcPr>
          <w:p w14:paraId="3385125C">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64295</w:t>
            </w:r>
          </w:p>
        </w:tc>
        <w:tc>
          <w:tcPr>
            <w:tcW w:w="741" w:type="dxa"/>
            <w:shd w:val="clear" w:color="auto" w:fill="auto"/>
            <w:noWrap/>
            <w:vAlign w:val="center"/>
          </w:tcPr>
          <w:p w14:paraId="131E18BC">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846" w:type="dxa"/>
            <w:shd w:val="clear" w:color="auto" w:fill="auto"/>
            <w:noWrap/>
            <w:vAlign w:val="center"/>
          </w:tcPr>
          <w:p w14:paraId="04A79873">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51.44</w:t>
            </w:r>
          </w:p>
        </w:tc>
        <w:tc>
          <w:tcPr>
            <w:tcW w:w="957" w:type="dxa"/>
            <w:shd w:val="clear" w:color="auto" w:fill="auto"/>
            <w:vAlign w:val="center"/>
          </w:tcPr>
          <w:p w14:paraId="2C903770">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1543.08</w:t>
            </w:r>
          </w:p>
        </w:tc>
        <w:tc>
          <w:tcPr>
            <w:tcW w:w="3785" w:type="dxa"/>
            <w:shd w:val="clear" w:color="auto" w:fill="auto"/>
            <w:vAlign w:val="center"/>
          </w:tcPr>
          <w:p w14:paraId="33AB9E5A">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按潮州市统计局公布的前一年度全市城镇非私营单位，“水利、环境和公共设施管理业”在岗职工平均工资64295；按公司配置8人估算，包括项目负责人1人，行政。财务、技术各1人，巡查养护人员4人（两班）</w:t>
            </w:r>
          </w:p>
        </w:tc>
      </w:tr>
      <w:tr w14:paraId="7F8D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31" w:type="dxa"/>
            <w:shd w:val="clear" w:color="auto" w:fill="auto"/>
            <w:noWrap/>
            <w:vAlign w:val="center"/>
          </w:tcPr>
          <w:p w14:paraId="029F73AC">
            <w:pPr>
              <w:widowControl/>
              <w:spacing w:line="276"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972" w:type="dxa"/>
            <w:shd w:val="clear" w:color="auto" w:fill="auto"/>
            <w:noWrap/>
            <w:vAlign w:val="center"/>
          </w:tcPr>
          <w:p w14:paraId="3A253978">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其他费</w:t>
            </w:r>
          </w:p>
        </w:tc>
        <w:tc>
          <w:tcPr>
            <w:tcW w:w="636" w:type="dxa"/>
            <w:shd w:val="clear" w:color="auto" w:fill="auto"/>
            <w:noWrap/>
            <w:vAlign w:val="center"/>
          </w:tcPr>
          <w:p w14:paraId="411A7BF9">
            <w:pPr>
              <w:widowControl/>
              <w:spacing w:line="276"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w:t>
            </w:r>
          </w:p>
        </w:tc>
        <w:tc>
          <w:tcPr>
            <w:tcW w:w="741" w:type="dxa"/>
            <w:shd w:val="clear" w:color="auto" w:fill="auto"/>
            <w:noWrap/>
            <w:vAlign w:val="center"/>
          </w:tcPr>
          <w:p w14:paraId="3012E5F6">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41" w:type="dxa"/>
            <w:shd w:val="clear" w:color="auto" w:fill="auto"/>
            <w:noWrap/>
            <w:vAlign w:val="center"/>
          </w:tcPr>
          <w:p w14:paraId="600CD46C">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242</w:t>
            </w:r>
          </w:p>
        </w:tc>
        <w:tc>
          <w:tcPr>
            <w:tcW w:w="846" w:type="dxa"/>
            <w:shd w:val="clear" w:color="auto" w:fill="auto"/>
            <w:noWrap/>
            <w:vAlign w:val="center"/>
          </w:tcPr>
          <w:p w14:paraId="673E2D11">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14.50</w:t>
            </w:r>
          </w:p>
        </w:tc>
        <w:tc>
          <w:tcPr>
            <w:tcW w:w="957" w:type="dxa"/>
            <w:shd w:val="clear" w:color="auto" w:fill="auto"/>
            <w:vAlign w:val="center"/>
          </w:tcPr>
          <w:p w14:paraId="5753CC5A">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435.14</w:t>
            </w:r>
          </w:p>
        </w:tc>
        <w:tc>
          <w:tcPr>
            <w:tcW w:w="3785" w:type="dxa"/>
            <w:shd w:val="clear" w:color="auto" w:fill="auto"/>
            <w:vAlign w:val="center"/>
          </w:tcPr>
          <w:p w14:paraId="44D3771B">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参照住建部《市政公用设施建设项目经济评价方法与参数》，本项目按上述直接成本（不含摊销及利息）6%计算</w:t>
            </w:r>
          </w:p>
        </w:tc>
      </w:tr>
      <w:tr w14:paraId="7C6B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03" w:type="dxa"/>
            <w:gridSpan w:val="2"/>
            <w:shd w:val="clear" w:color="auto" w:fill="auto"/>
            <w:noWrap/>
            <w:vAlign w:val="center"/>
          </w:tcPr>
          <w:p w14:paraId="5C5E733D">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合计</w:t>
            </w:r>
          </w:p>
        </w:tc>
        <w:tc>
          <w:tcPr>
            <w:tcW w:w="636" w:type="dxa"/>
            <w:shd w:val="clear" w:color="auto" w:fill="auto"/>
            <w:noWrap/>
            <w:vAlign w:val="center"/>
          </w:tcPr>
          <w:p w14:paraId="2E77CA65">
            <w:pPr>
              <w:widowControl/>
              <w:spacing w:line="276" w:lineRule="auto"/>
              <w:jc w:val="center"/>
              <w:rPr>
                <w:rFonts w:ascii="仿宋_GB2312" w:hAnsi="宋体" w:eastAsia="仿宋_GB2312" w:cs="宋体"/>
                <w:b/>
                <w:bCs/>
                <w:color w:val="000000"/>
                <w:kern w:val="0"/>
                <w:szCs w:val="21"/>
              </w:rPr>
            </w:pPr>
          </w:p>
        </w:tc>
        <w:tc>
          <w:tcPr>
            <w:tcW w:w="741" w:type="dxa"/>
            <w:shd w:val="clear" w:color="auto" w:fill="auto"/>
            <w:noWrap/>
            <w:vAlign w:val="center"/>
          </w:tcPr>
          <w:p w14:paraId="449C595C">
            <w:pPr>
              <w:widowControl/>
              <w:spacing w:line="276" w:lineRule="auto"/>
              <w:jc w:val="center"/>
              <w:rPr>
                <w:rFonts w:ascii="仿宋_GB2312" w:hAnsi="宋体" w:eastAsia="仿宋_GB2312" w:cs="宋体"/>
                <w:b/>
                <w:bCs/>
                <w:color w:val="000000"/>
                <w:kern w:val="0"/>
                <w:szCs w:val="21"/>
              </w:rPr>
            </w:pPr>
          </w:p>
        </w:tc>
        <w:tc>
          <w:tcPr>
            <w:tcW w:w="741" w:type="dxa"/>
            <w:shd w:val="clear" w:color="auto" w:fill="auto"/>
            <w:noWrap/>
            <w:vAlign w:val="center"/>
          </w:tcPr>
          <w:p w14:paraId="3D1D0201">
            <w:pPr>
              <w:widowControl/>
              <w:spacing w:line="276" w:lineRule="auto"/>
              <w:jc w:val="center"/>
              <w:rPr>
                <w:rFonts w:ascii="仿宋_GB2312" w:hAnsi="宋体" w:eastAsia="仿宋_GB2312" w:cs="宋体"/>
                <w:b/>
                <w:bCs/>
                <w:color w:val="000000"/>
                <w:kern w:val="0"/>
                <w:szCs w:val="21"/>
              </w:rPr>
            </w:pPr>
          </w:p>
        </w:tc>
        <w:tc>
          <w:tcPr>
            <w:tcW w:w="846" w:type="dxa"/>
            <w:shd w:val="clear" w:color="auto" w:fill="auto"/>
            <w:noWrap/>
            <w:vAlign w:val="center"/>
          </w:tcPr>
          <w:p w14:paraId="1CE2A334">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256.3</w:t>
            </w:r>
          </w:p>
        </w:tc>
        <w:tc>
          <w:tcPr>
            <w:tcW w:w="957" w:type="dxa"/>
            <w:shd w:val="clear" w:color="auto" w:fill="auto"/>
            <w:vAlign w:val="center"/>
          </w:tcPr>
          <w:p w14:paraId="3D9BB644">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7687.54</w:t>
            </w:r>
          </w:p>
        </w:tc>
        <w:tc>
          <w:tcPr>
            <w:tcW w:w="3785" w:type="dxa"/>
            <w:shd w:val="clear" w:color="auto" w:fill="auto"/>
            <w:vAlign w:val="center"/>
          </w:tcPr>
          <w:p w14:paraId="19AC2745">
            <w:pPr>
              <w:widowControl/>
              <w:spacing w:line="276" w:lineRule="auto"/>
              <w:jc w:val="center"/>
              <w:rPr>
                <w:rFonts w:ascii="仿宋_GB2312" w:hAnsi="宋体" w:eastAsia="仿宋_GB2312" w:cs="宋体"/>
                <w:color w:val="000000"/>
                <w:kern w:val="0"/>
                <w:szCs w:val="21"/>
              </w:rPr>
            </w:pPr>
          </w:p>
        </w:tc>
      </w:tr>
    </w:tbl>
    <w:p w14:paraId="66294DB9">
      <w:pPr>
        <w:pStyle w:val="17"/>
        <w:widowControl/>
        <w:shd w:val="clear" w:color="auto" w:fill="FFFFFF"/>
        <w:spacing w:beforeAutospacing="0" w:afterAutospacing="0"/>
        <w:ind w:firstLine="562"/>
        <w:jc w:val="center"/>
        <w:rPr>
          <w:rFonts w:ascii="Times New Roman Regular" w:hAnsi="Times New Roman Regular" w:eastAsia="仿宋_GB2312" w:cs="Times New Roman Regular"/>
          <w:b/>
          <w:bCs/>
          <w:color w:val="000000" w:themeColor="text1"/>
          <w:sz w:val="28"/>
          <w:szCs w:val="28"/>
          <w14:textFill>
            <w14:solidFill>
              <w14:schemeClr w14:val="tx1"/>
            </w14:solidFill>
          </w14:textFill>
        </w:rPr>
      </w:pPr>
    </w:p>
    <w:p w14:paraId="632FB39C">
      <w:pPr>
        <w:pStyle w:val="17"/>
        <w:widowControl/>
        <w:shd w:val="clear" w:color="auto" w:fill="FFFFFF"/>
        <w:spacing w:beforeAutospacing="0" w:afterAutospacing="0"/>
        <w:ind w:firstLine="560" w:firstLineChars="200"/>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（5）折旧摊销</w:t>
      </w:r>
    </w:p>
    <w:p w14:paraId="380A5CEF">
      <w:pPr>
        <w:ind w:firstLine="560" w:firstLineChars="200"/>
        <w:rPr>
          <w:rFonts w:ascii="仿宋_GB2312" w:hAnsi="仿宋" w:eastAsia="仿宋_GB2312" w:cs="仿宋"/>
        </w:rPr>
      </w:pPr>
      <w:r>
        <w:rPr>
          <w:rFonts w:hint="eastAsia" w:ascii="仿宋_GB2312" w:hAnsi="仿宋" w:eastAsia="仿宋_GB2312" w:cs="仿宋"/>
          <w:sz w:val="28"/>
          <w:szCs w:val="28"/>
        </w:rPr>
        <w:t>本项目资产权属归属政府方，本项目特许经营权评估值为11000万元，特许经营单位需向政府支付等值现金，获得特许经营权，合作期满后无偿移交。因此，本项目按11000万元记为无形资产，按30年均值摊销完毕，不留残值。</w:t>
      </w:r>
    </w:p>
    <w:p w14:paraId="009C20EF">
      <w:pPr>
        <w:pStyle w:val="17"/>
        <w:widowControl/>
        <w:shd w:val="clear" w:color="auto" w:fill="FFFFFF"/>
        <w:spacing w:beforeAutospacing="0" w:afterAutospacing="0"/>
        <w:ind w:firstLine="560" w:firstLineChars="200"/>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（6）税率</w:t>
      </w:r>
    </w:p>
    <w:p w14:paraId="00A817B7">
      <w:pPr>
        <w:ind w:firstLine="567"/>
        <w:rPr>
          <w:rFonts w:ascii="仿宋_GB2312" w:hAnsi="仿宋" w:eastAsia="仿宋_GB2312" w:cs="仿宋"/>
          <w:sz w:val="28"/>
          <w:szCs w:val="28"/>
        </w:rPr>
      </w:pPr>
      <w:r>
        <w:rPr>
          <w:rFonts w:hint="eastAsia" w:ascii="仿宋_GB2312" w:hAnsi="仿宋" w:eastAsia="仿宋_GB2312" w:cs="仿宋"/>
          <w:sz w:val="28"/>
          <w:szCs w:val="28"/>
        </w:rPr>
        <w:t>目前财务测算税率按照以下假定进行：</w:t>
      </w:r>
    </w:p>
    <w:tbl>
      <w:tblPr>
        <w:tblStyle w:val="18"/>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1"/>
        <w:gridCol w:w="1720"/>
        <w:gridCol w:w="3828"/>
      </w:tblGrid>
      <w:tr w14:paraId="34E3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849" w:type="dxa"/>
            <w:gridSpan w:val="3"/>
            <w:vAlign w:val="bottom"/>
          </w:tcPr>
          <w:p w14:paraId="4BA2855F">
            <w:pPr>
              <w:widowControl/>
              <w:jc w:val="left"/>
              <w:rPr>
                <w:rFonts w:ascii="仿宋_GB2312" w:hAnsi="仿宋" w:eastAsia="仿宋_GB2312" w:cs="仿宋"/>
                <w:b/>
                <w:kern w:val="0"/>
                <w:sz w:val="24"/>
              </w:rPr>
            </w:pPr>
            <w:r>
              <w:rPr>
                <w:rFonts w:hint="eastAsia" w:ascii="仿宋_GB2312" w:hAnsi="仿宋" w:eastAsia="仿宋_GB2312" w:cs="仿宋"/>
                <w:b/>
                <w:kern w:val="0"/>
                <w:sz w:val="24"/>
              </w:rPr>
              <w:t>所得税</w:t>
            </w:r>
          </w:p>
        </w:tc>
      </w:tr>
      <w:tr w14:paraId="12B3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301" w:type="dxa"/>
            <w:vAlign w:val="bottom"/>
          </w:tcPr>
          <w:p w14:paraId="14ED9C3A">
            <w:pPr>
              <w:widowControl/>
              <w:jc w:val="left"/>
              <w:rPr>
                <w:rFonts w:ascii="仿宋_GB2312" w:hAnsi="仿宋" w:eastAsia="仿宋_GB2312" w:cs="仿宋"/>
                <w:kern w:val="0"/>
                <w:sz w:val="24"/>
              </w:rPr>
            </w:pPr>
            <w:r>
              <w:rPr>
                <w:rFonts w:hint="eastAsia" w:ascii="仿宋_GB2312" w:hAnsi="仿宋" w:eastAsia="仿宋_GB2312" w:cs="仿宋"/>
                <w:kern w:val="0"/>
                <w:sz w:val="24"/>
              </w:rPr>
              <w:t xml:space="preserve">   所得税率</w:t>
            </w:r>
          </w:p>
        </w:tc>
        <w:tc>
          <w:tcPr>
            <w:tcW w:w="1720" w:type="dxa"/>
            <w:vAlign w:val="bottom"/>
          </w:tcPr>
          <w:p w14:paraId="7A8F0C6C">
            <w:pPr>
              <w:widowControl/>
              <w:jc w:val="center"/>
              <w:rPr>
                <w:rFonts w:ascii="仿宋_GB2312" w:hAnsi="仿宋" w:eastAsia="仿宋_GB2312" w:cs="仿宋"/>
                <w:kern w:val="0"/>
                <w:sz w:val="24"/>
              </w:rPr>
            </w:pPr>
            <w:r>
              <w:rPr>
                <w:rFonts w:hint="eastAsia" w:ascii="仿宋_GB2312" w:hAnsi="仿宋" w:eastAsia="仿宋_GB2312" w:cs="仿宋"/>
                <w:kern w:val="0"/>
                <w:sz w:val="24"/>
              </w:rPr>
              <w:t>25%</w:t>
            </w:r>
          </w:p>
        </w:tc>
        <w:tc>
          <w:tcPr>
            <w:tcW w:w="3828" w:type="dxa"/>
            <w:vAlign w:val="bottom"/>
          </w:tcPr>
          <w:p w14:paraId="5CDC83A5">
            <w:pPr>
              <w:widowControl/>
              <w:jc w:val="center"/>
              <w:rPr>
                <w:rFonts w:ascii="仿宋_GB2312" w:hAnsi="仿宋" w:eastAsia="仿宋_GB2312" w:cs="仿宋"/>
                <w:kern w:val="0"/>
                <w:sz w:val="24"/>
              </w:rPr>
            </w:pPr>
            <w:r>
              <w:rPr>
                <w:rFonts w:hint="eastAsia" w:ascii="仿宋_GB2312" w:hAnsi="仿宋" w:eastAsia="仿宋_GB2312" w:cs="仿宋"/>
                <w:kern w:val="0"/>
                <w:sz w:val="24"/>
              </w:rPr>
              <w:t>　</w:t>
            </w:r>
          </w:p>
        </w:tc>
      </w:tr>
      <w:tr w14:paraId="4D1D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849" w:type="dxa"/>
            <w:gridSpan w:val="3"/>
            <w:vAlign w:val="bottom"/>
          </w:tcPr>
          <w:p w14:paraId="58082FC4">
            <w:pPr>
              <w:widowControl/>
              <w:jc w:val="left"/>
              <w:rPr>
                <w:rFonts w:ascii="仿宋_GB2312" w:hAnsi="仿宋" w:eastAsia="仿宋_GB2312" w:cs="仿宋"/>
                <w:b/>
                <w:kern w:val="0"/>
                <w:sz w:val="24"/>
              </w:rPr>
            </w:pPr>
            <w:r>
              <w:rPr>
                <w:rFonts w:hint="eastAsia" w:ascii="仿宋_GB2312" w:hAnsi="仿宋" w:eastAsia="仿宋_GB2312" w:cs="仿宋"/>
                <w:b/>
                <w:kern w:val="0"/>
                <w:sz w:val="24"/>
              </w:rPr>
              <w:t>增值税</w:t>
            </w:r>
          </w:p>
        </w:tc>
      </w:tr>
      <w:tr w14:paraId="5964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301" w:type="dxa"/>
            <w:vMerge w:val="restart"/>
            <w:shd w:val="clear" w:color="auto" w:fill="FFFFFF"/>
            <w:vAlign w:val="center"/>
          </w:tcPr>
          <w:p w14:paraId="774BBB8E">
            <w:pPr>
              <w:widowControl/>
              <w:ind w:firstLine="280" w:firstLineChars="117"/>
              <w:rPr>
                <w:rFonts w:ascii="仿宋_GB2312" w:hAnsi="仿宋" w:eastAsia="仿宋_GB2312" w:cs="仿宋"/>
                <w:kern w:val="0"/>
                <w:sz w:val="24"/>
              </w:rPr>
            </w:pPr>
            <w:r>
              <w:rPr>
                <w:rFonts w:hint="eastAsia" w:ascii="仿宋_GB2312" w:hAnsi="仿宋" w:eastAsia="仿宋_GB2312" w:cs="仿宋"/>
                <w:kern w:val="0"/>
                <w:sz w:val="24"/>
              </w:rPr>
              <w:t>进项增值税税率</w:t>
            </w:r>
          </w:p>
        </w:tc>
        <w:tc>
          <w:tcPr>
            <w:tcW w:w="1720" w:type="dxa"/>
            <w:shd w:val="clear" w:color="auto" w:fill="FFFFFF"/>
            <w:vAlign w:val="center"/>
          </w:tcPr>
          <w:p w14:paraId="2F67252E">
            <w:pPr>
              <w:widowControl/>
              <w:jc w:val="center"/>
              <w:rPr>
                <w:rFonts w:ascii="仿宋_GB2312" w:hAnsi="仿宋" w:eastAsia="仿宋_GB2312" w:cs="仿宋"/>
                <w:kern w:val="0"/>
                <w:sz w:val="24"/>
              </w:rPr>
            </w:pPr>
            <w:r>
              <w:rPr>
                <w:rFonts w:hint="eastAsia" w:ascii="仿宋_GB2312" w:hAnsi="仿宋" w:eastAsia="仿宋_GB2312" w:cs="仿宋"/>
                <w:kern w:val="0"/>
                <w:sz w:val="24"/>
              </w:rPr>
              <w:t>日常维护</w:t>
            </w:r>
          </w:p>
        </w:tc>
        <w:tc>
          <w:tcPr>
            <w:tcW w:w="3828" w:type="dxa"/>
            <w:shd w:val="clear" w:color="auto" w:fill="FFFFFF"/>
            <w:vAlign w:val="center"/>
          </w:tcPr>
          <w:p w14:paraId="230A3373">
            <w:pPr>
              <w:widowControl/>
              <w:jc w:val="center"/>
              <w:rPr>
                <w:rFonts w:ascii="仿宋_GB2312" w:hAnsi="仿宋" w:eastAsia="仿宋_GB2312" w:cs="仿宋"/>
                <w:kern w:val="0"/>
                <w:sz w:val="24"/>
              </w:rPr>
            </w:pPr>
            <w:r>
              <w:rPr>
                <w:rFonts w:hint="eastAsia" w:ascii="仿宋_GB2312" w:hAnsi="仿宋" w:eastAsia="仿宋_GB2312" w:cs="仿宋"/>
                <w:kern w:val="0"/>
                <w:sz w:val="24"/>
              </w:rPr>
              <w:t>13%</w:t>
            </w:r>
          </w:p>
        </w:tc>
      </w:tr>
      <w:tr w14:paraId="1C51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301" w:type="dxa"/>
            <w:vMerge w:val="continue"/>
            <w:vAlign w:val="center"/>
          </w:tcPr>
          <w:p w14:paraId="7F6F7DE4">
            <w:pPr>
              <w:widowControl/>
              <w:jc w:val="left"/>
              <w:rPr>
                <w:rFonts w:ascii="仿宋_GB2312" w:hAnsi="仿宋" w:eastAsia="仿宋_GB2312" w:cs="仿宋"/>
                <w:kern w:val="0"/>
                <w:sz w:val="24"/>
              </w:rPr>
            </w:pPr>
          </w:p>
        </w:tc>
        <w:tc>
          <w:tcPr>
            <w:tcW w:w="1720" w:type="dxa"/>
            <w:shd w:val="clear" w:color="auto" w:fill="FFFFFF"/>
            <w:vAlign w:val="center"/>
          </w:tcPr>
          <w:p w14:paraId="733D9BE5">
            <w:pPr>
              <w:widowControl/>
              <w:jc w:val="center"/>
              <w:rPr>
                <w:rFonts w:ascii="仿宋_GB2312" w:hAnsi="仿宋" w:eastAsia="仿宋_GB2312" w:cs="仿宋"/>
                <w:kern w:val="0"/>
                <w:sz w:val="24"/>
              </w:rPr>
            </w:pPr>
            <w:r>
              <w:rPr>
                <w:rFonts w:hint="eastAsia" w:ascii="仿宋_GB2312" w:hAnsi="仿宋" w:eastAsia="仿宋_GB2312" w:cs="仿宋"/>
                <w:kern w:val="0"/>
                <w:sz w:val="24"/>
              </w:rPr>
              <w:t>设备更新</w:t>
            </w:r>
          </w:p>
        </w:tc>
        <w:tc>
          <w:tcPr>
            <w:tcW w:w="3828" w:type="dxa"/>
            <w:shd w:val="clear" w:color="auto" w:fill="FFFFFF"/>
            <w:vAlign w:val="center"/>
          </w:tcPr>
          <w:p w14:paraId="1D929B00">
            <w:pPr>
              <w:widowControl/>
              <w:jc w:val="center"/>
              <w:rPr>
                <w:rFonts w:ascii="仿宋_GB2312" w:hAnsi="仿宋" w:eastAsia="仿宋_GB2312" w:cs="仿宋"/>
                <w:kern w:val="0"/>
                <w:sz w:val="24"/>
              </w:rPr>
            </w:pPr>
            <w:r>
              <w:rPr>
                <w:rFonts w:hint="eastAsia" w:ascii="仿宋_GB2312" w:hAnsi="仿宋" w:eastAsia="仿宋_GB2312" w:cs="仿宋"/>
                <w:kern w:val="0"/>
                <w:sz w:val="24"/>
              </w:rPr>
              <w:t>13%</w:t>
            </w:r>
          </w:p>
        </w:tc>
      </w:tr>
      <w:tr w14:paraId="25FB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301" w:type="dxa"/>
            <w:vAlign w:val="bottom"/>
          </w:tcPr>
          <w:p w14:paraId="1AC663CA">
            <w:pPr>
              <w:widowControl/>
              <w:jc w:val="left"/>
              <w:rPr>
                <w:rFonts w:ascii="仿宋_GB2312" w:hAnsi="仿宋" w:eastAsia="仿宋_GB2312" w:cs="仿宋"/>
                <w:kern w:val="0"/>
                <w:sz w:val="24"/>
              </w:rPr>
            </w:pPr>
            <w:r>
              <w:rPr>
                <w:rFonts w:hint="eastAsia" w:ascii="仿宋_GB2312" w:hAnsi="仿宋" w:eastAsia="仿宋_GB2312" w:cs="仿宋"/>
                <w:kern w:val="0"/>
                <w:sz w:val="24"/>
              </w:rPr>
              <w:t xml:space="preserve">   销项增值税税率</w:t>
            </w:r>
          </w:p>
        </w:tc>
        <w:tc>
          <w:tcPr>
            <w:tcW w:w="1720" w:type="dxa"/>
            <w:shd w:val="clear" w:color="auto" w:fill="FFFFFF"/>
            <w:vAlign w:val="center"/>
          </w:tcPr>
          <w:p w14:paraId="47EEEE96">
            <w:pPr>
              <w:widowControl/>
              <w:jc w:val="center"/>
              <w:rPr>
                <w:rFonts w:ascii="仿宋_GB2312" w:hAnsi="仿宋" w:eastAsia="仿宋_GB2312" w:cs="仿宋"/>
                <w:kern w:val="0"/>
                <w:sz w:val="24"/>
              </w:rPr>
            </w:pPr>
            <w:r>
              <w:rPr>
                <w:rFonts w:hint="eastAsia" w:ascii="仿宋_GB2312" w:hAnsi="仿宋" w:eastAsia="仿宋_GB2312" w:cs="仿宋"/>
                <w:kern w:val="0"/>
                <w:sz w:val="24"/>
              </w:rPr>
              <w:t>污水处理服务</w:t>
            </w:r>
          </w:p>
        </w:tc>
        <w:tc>
          <w:tcPr>
            <w:tcW w:w="3828" w:type="dxa"/>
            <w:shd w:val="clear" w:color="auto" w:fill="FFFFFF"/>
            <w:vAlign w:val="center"/>
          </w:tcPr>
          <w:p w14:paraId="3443BECB">
            <w:pPr>
              <w:widowControl/>
              <w:jc w:val="center"/>
              <w:rPr>
                <w:rFonts w:ascii="仿宋_GB2312" w:hAnsi="仿宋" w:eastAsia="仿宋_GB2312" w:cs="仿宋"/>
                <w:kern w:val="0"/>
                <w:sz w:val="24"/>
              </w:rPr>
            </w:pPr>
            <w:r>
              <w:rPr>
                <w:rFonts w:hint="eastAsia" w:ascii="仿宋_GB2312" w:hAnsi="仿宋" w:eastAsia="仿宋_GB2312" w:cs="仿宋"/>
                <w:kern w:val="0"/>
                <w:sz w:val="24"/>
              </w:rPr>
              <w:t>6%（享受70%即征即退政策优惠）</w:t>
            </w:r>
          </w:p>
        </w:tc>
      </w:tr>
      <w:tr w14:paraId="15B9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849" w:type="dxa"/>
            <w:gridSpan w:val="3"/>
            <w:vAlign w:val="bottom"/>
          </w:tcPr>
          <w:p w14:paraId="337E7773">
            <w:pPr>
              <w:widowControl/>
              <w:jc w:val="left"/>
              <w:rPr>
                <w:rFonts w:ascii="仿宋_GB2312" w:hAnsi="仿宋" w:eastAsia="仿宋_GB2312" w:cs="仿宋"/>
                <w:b/>
                <w:kern w:val="0"/>
                <w:sz w:val="24"/>
              </w:rPr>
            </w:pPr>
            <w:r>
              <w:rPr>
                <w:rFonts w:hint="eastAsia" w:ascii="仿宋_GB2312" w:hAnsi="仿宋" w:eastAsia="仿宋_GB2312" w:cs="仿宋"/>
                <w:b/>
                <w:kern w:val="0"/>
                <w:sz w:val="24"/>
              </w:rPr>
              <w:t>增值税附加</w:t>
            </w:r>
          </w:p>
        </w:tc>
      </w:tr>
      <w:tr w14:paraId="2F02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301" w:type="dxa"/>
            <w:vAlign w:val="bottom"/>
          </w:tcPr>
          <w:p w14:paraId="02732245">
            <w:pPr>
              <w:widowControl/>
              <w:jc w:val="left"/>
              <w:rPr>
                <w:rFonts w:ascii="仿宋_GB2312" w:hAnsi="仿宋" w:eastAsia="仿宋_GB2312" w:cs="仿宋"/>
                <w:kern w:val="0"/>
                <w:sz w:val="24"/>
              </w:rPr>
            </w:pPr>
            <w:r>
              <w:rPr>
                <w:rFonts w:hint="eastAsia" w:ascii="仿宋_GB2312" w:hAnsi="仿宋" w:eastAsia="仿宋_GB2312" w:cs="仿宋"/>
                <w:kern w:val="0"/>
                <w:sz w:val="24"/>
              </w:rPr>
              <w:t xml:space="preserve">   城建税</w:t>
            </w:r>
          </w:p>
        </w:tc>
        <w:tc>
          <w:tcPr>
            <w:tcW w:w="1720" w:type="dxa"/>
            <w:vAlign w:val="bottom"/>
          </w:tcPr>
          <w:p w14:paraId="15F6721B">
            <w:pPr>
              <w:widowControl/>
              <w:jc w:val="center"/>
              <w:rPr>
                <w:rFonts w:ascii="仿宋_GB2312" w:hAnsi="仿宋" w:eastAsia="仿宋_GB2312" w:cs="仿宋"/>
                <w:kern w:val="0"/>
                <w:sz w:val="24"/>
              </w:rPr>
            </w:pPr>
            <w:r>
              <w:rPr>
                <w:rFonts w:hint="eastAsia" w:ascii="仿宋_GB2312" w:hAnsi="仿宋" w:eastAsia="仿宋_GB2312" w:cs="仿宋"/>
                <w:kern w:val="0"/>
                <w:sz w:val="24"/>
              </w:rPr>
              <w:t>7.0%</w:t>
            </w:r>
          </w:p>
        </w:tc>
        <w:tc>
          <w:tcPr>
            <w:tcW w:w="3828" w:type="dxa"/>
            <w:vMerge w:val="restart"/>
            <w:vAlign w:val="center"/>
          </w:tcPr>
          <w:p w14:paraId="2A8442C4">
            <w:pPr>
              <w:widowControl/>
              <w:jc w:val="center"/>
              <w:rPr>
                <w:rFonts w:ascii="仿宋_GB2312" w:hAnsi="仿宋" w:eastAsia="仿宋_GB2312" w:cs="仿宋"/>
                <w:kern w:val="0"/>
                <w:sz w:val="24"/>
              </w:rPr>
            </w:pPr>
            <w:r>
              <w:rPr>
                <w:rFonts w:hint="eastAsia" w:ascii="仿宋_GB2312" w:hAnsi="仿宋" w:eastAsia="仿宋_GB2312" w:cs="仿宋"/>
                <w:kern w:val="0"/>
                <w:sz w:val="24"/>
              </w:rPr>
              <w:t>增值税为基础的附加税</w:t>
            </w:r>
          </w:p>
        </w:tc>
      </w:tr>
      <w:tr w14:paraId="7B5B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301" w:type="dxa"/>
            <w:vAlign w:val="bottom"/>
          </w:tcPr>
          <w:p w14:paraId="7D81F74F">
            <w:pPr>
              <w:widowControl/>
              <w:jc w:val="left"/>
              <w:rPr>
                <w:rFonts w:ascii="仿宋_GB2312" w:hAnsi="仿宋" w:eastAsia="仿宋_GB2312" w:cs="仿宋"/>
                <w:kern w:val="0"/>
                <w:sz w:val="24"/>
              </w:rPr>
            </w:pPr>
            <w:r>
              <w:rPr>
                <w:rFonts w:hint="eastAsia" w:ascii="仿宋_GB2312" w:hAnsi="仿宋" w:eastAsia="仿宋_GB2312" w:cs="仿宋"/>
                <w:kern w:val="0"/>
                <w:sz w:val="24"/>
              </w:rPr>
              <w:t xml:space="preserve">   教育费附加</w:t>
            </w:r>
          </w:p>
        </w:tc>
        <w:tc>
          <w:tcPr>
            <w:tcW w:w="1720" w:type="dxa"/>
            <w:vAlign w:val="bottom"/>
          </w:tcPr>
          <w:p w14:paraId="7DF99366">
            <w:pPr>
              <w:widowControl/>
              <w:jc w:val="center"/>
              <w:rPr>
                <w:rFonts w:ascii="仿宋_GB2312" w:hAnsi="仿宋" w:eastAsia="仿宋_GB2312" w:cs="仿宋"/>
                <w:kern w:val="0"/>
                <w:sz w:val="24"/>
              </w:rPr>
            </w:pPr>
            <w:r>
              <w:rPr>
                <w:rFonts w:hint="eastAsia" w:ascii="仿宋_GB2312" w:hAnsi="仿宋" w:eastAsia="仿宋_GB2312" w:cs="仿宋"/>
                <w:kern w:val="0"/>
                <w:sz w:val="24"/>
              </w:rPr>
              <w:t>3.0%</w:t>
            </w:r>
          </w:p>
        </w:tc>
        <w:tc>
          <w:tcPr>
            <w:tcW w:w="3828" w:type="dxa"/>
            <w:vMerge w:val="continue"/>
            <w:vAlign w:val="center"/>
          </w:tcPr>
          <w:p w14:paraId="6A989A13">
            <w:pPr>
              <w:widowControl/>
              <w:jc w:val="left"/>
              <w:rPr>
                <w:rFonts w:ascii="仿宋_GB2312" w:hAnsi="仿宋" w:eastAsia="仿宋_GB2312" w:cs="仿宋"/>
                <w:kern w:val="0"/>
                <w:sz w:val="24"/>
              </w:rPr>
            </w:pPr>
          </w:p>
        </w:tc>
      </w:tr>
      <w:tr w14:paraId="69F3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301" w:type="dxa"/>
            <w:vAlign w:val="bottom"/>
          </w:tcPr>
          <w:p w14:paraId="0BAE1AEF">
            <w:pPr>
              <w:widowControl/>
              <w:jc w:val="left"/>
              <w:rPr>
                <w:rFonts w:ascii="仿宋_GB2312" w:hAnsi="仿宋" w:eastAsia="仿宋_GB2312" w:cs="仿宋"/>
                <w:kern w:val="0"/>
                <w:sz w:val="24"/>
              </w:rPr>
            </w:pPr>
            <w:r>
              <w:rPr>
                <w:rFonts w:hint="eastAsia" w:ascii="仿宋_GB2312" w:hAnsi="仿宋" w:eastAsia="仿宋_GB2312" w:cs="仿宋"/>
                <w:kern w:val="0"/>
                <w:sz w:val="24"/>
              </w:rPr>
              <w:t xml:space="preserve">   地方教育费附加</w:t>
            </w:r>
          </w:p>
        </w:tc>
        <w:tc>
          <w:tcPr>
            <w:tcW w:w="1720" w:type="dxa"/>
            <w:vAlign w:val="bottom"/>
          </w:tcPr>
          <w:p w14:paraId="314BEAE9">
            <w:pPr>
              <w:widowControl/>
              <w:jc w:val="center"/>
              <w:rPr>
                <w:rFonts w:ascii="仿宋_GB2312" w:hAnsi="仿宋" w:eastAsia="仿宋_GB2312" w:cs="仿宋"/>
                <w:kern w:val="0"/>
                <w:sz w:val="24"/>
              </w:rPr>
            </w:pPr>
            <w:r>
              <w:rPr>
                <w:rFonts w:hint="eastAsia" w:ascii="仿宋_GB2312" w:hAnsi="仿宋" w:eastAsia="仿宋_GB2312" w:cs="仿宋"/>
                <w:kern w:val="0"/>
                <w:sz w:val="24"/>
              </w:rPr>
              <w:t>2.0%</w:t>
            </w:r>
          </w:p>
        </w:tc>
        <w:tc>
          <w:tcPr>
            <w:tcW w:w="3828" w:type="dxa"/>
            <w:vMerge w:val="continue"/>
            <w:vAlign w:val="center"/>
          </w:tcPr>
          <w:p w14:paraId="487FCD4D">
            <w:pPr>
              <w:widowControl/>
              <w:jc w:val="left"/>
              <w:rPr>
                <w:rFonts w:ascii="仿宋_GB2312" w:hAnsi="仿宋" w:eastAsia="仿宋_GB2312" w:cs="仿宋"/>
                <w:kern w:val="0"/>
                <w:sz w:val="24"/>
              </w:rPr>
            </w:pPr>
          </w:p>
        </w:tc>
      </w:tr>
    </w:tbl>
    <w:p w14:paraId="200563F1">
      <w:pPr>
        <w:pStyle w:val="43"/>
        <w:spacing w:before="156" w:after="156"/>
      </w:pPr>
    </w:p>
    <w:p w14:paraId="4D3C9448">
      <w:pPr>
        <w:pStyle w:val="5"/>
      </w:pPr>
      <w:r>
        <w:rPr>
          <w:rFonts w:hint="eastAsia"/>
        </w:rPr>
        <w:t>3、财务测算结果</w:t>
      </w:r>
    </w:p>
    <w:p w14:paraId="038F4215">
      <w:pPr>
        <w:ind w:firstLine="1120" w:firstLineChars="400"/>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仿宋" w:hAnsi="仿宋" w:eastAsia="仿宋" w:cs="仿宋"/>
          <w:sz w:val="28"/>
          <w:szCs w:val="28"/>
        </w:rPr>
        <w:t>当每年服务费为9</w:t>
      </w:r>
      <w:r>
        <w:rPr>
          <w:rFonts w:ascii="仿宋" w:hAnsi="仿宋" w:eastAsia="仿宋" w:cs="仿宋"/>
          <w:sz w:val="28"/>
          <w:szCs w:val="28"/>
        </w:rPr>
        <w:t>19</w:t>
      </w:r>
      <w:r>
        <w:rPr>
          <w:rFonts w:hint="eastAsia" w:ascii="仿宋" w:hAnsi="仿宋" w:eastAsia="仿宋" w:cs="仿宋"/>
          <w:sz w:val="28"/>
          <w:szCs w:val="28"/>
        </w:rPr>
        <w:t>万元时，本项目融资前内部收益率（税前）为</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4</w:t>
      </w:r>
      <w:r>
        <w:rPr>
          <w:rFonts w:ascii="Times New Roman Regular" w:hAnsi="Times New Roman Regular" w:eastAsia="仿宋_GB2312" w:cs="Times New Roman Regular"/>
          <w:color w:val="000000" w:themeColor="text1"/>
          <w:sz w:val="28"/>
          <w:szCs w:val="28"/>
          <w14:textFill>
            <w14:solidFill>
              <w14:schemeClr w14:val="tx1"/>
            </w14:solidFill>
          </w14:textFill>
        </w:rPr>
        <w:t>.5%</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，项目资本金内部收益率约为6.</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，项目静态投资回收期为1</w:t>
      </w:r>
      <w:r>
        <w:rPr>
          <w:rFonts w:ascii="Times New Roman Regular" w:hAnsi="Times New Roman Regular" w:eastAsia="仿宋_GB2312" w:cs="Times New Roman Regular"/>
          <w:color w:val="000000" w:themeColor="text1"/>
          <w:sz w:val="28"/>
          <w:szCs w:val="28"/>
          <w14:textFill>
            <w14:solidFill>
              <w14:schemeClr w14:val="tx1"/>
            </w14:solidFill>
          </w14:textFill>
        </w:rPr>
        <w:t>6.9</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年。现金流量表见附件二。</w:t>
      </w:r>
    </w:p>
    <w:p w14:paraId="16886CA1">
      <w:pPr>
        <w:pStyle w:val="2"/>
      </w:pPr>
    </w:p>
    <w:p w14:paraId="1BAAB54A">
      <w:pPr>
        <w:pStyle w:val="4"/>
      </w:pPr>
      <w:bookmarkStart w:id="95" w:name="_Toc14917"/>
      <w:bookmarkStart w:id="96" w:name="_Toc14019"/>
      <w:bookmarkStart w:id="97" w:name="_Toc3164"/>
      <w:bookmarkStart w:id="98" w:name="_Toc188530555"/>
      <w:r>
        <w:t>（四）比较优势分析</w:t>
      </w:r>
      <w:bookmarkEnd w:id="95"/>
      <w:bookmarkEnd w:id="96"/>
      <w:bookmarkEnd w:id="97"/>
      <w:bookmarkEnd w:id="98"/>
    </w:p>
    <w:p w14:paraId="7EF9915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99" w:name="_Toc26532"/>
      <w:r>
        <w:rPr>
          <w:rFonts w:ascii="Times New Roman Regular" w:hAnsi="Times New Roman Regular" w:eastAsia="仿宋_GB2312" w:cs="Times New Roman Regular"/>
          <w:color w:val="000000" w:themeColor="text1"/>
          <w:sz w:val="28"/>
          <w:szCs w:val="28"/>
          <w14:textFill>
            <w14:solidFill>
              <w14:schemeClr w14:val="tx1"/>
            </w14:solidFill>
          </w14:textFill>
        </w:rPr>
        <w:t>按照相关政策要求和项目实际需求，本项目</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投资建设已完成，对于后续运营管理有</w:t>
      </w:r>
      <w:r>
        <w:rPr>
          <w:rFonts w:ascii="Times New Roman Regular" w:hAnsi="Times New Roman Regular" w:eastAsia="仿宋_GB2312" w:cs="Times New Roman Regular"/>
          <w:color w:val="000000" w:themeColor="text1"/>
          <w:sz w:val="28"/>
          <w:szCs w:val="28"/>
          <w14:textFill>
            <w14:solidFill>
              <w14:schemeClr w14:val="tx1"/>
            </w14:solidFill>
          </w14:textFill>
        </w:rPr>
        <w:t>政府购买服务和特许经营</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三</w:t>
      </w:r>
      <w:r>
        <w:rPr>
          <w:rFonts w:ascii="Times New Roman Regular" w:hAnsi="Times New Roman Regular" w:eastAsia="仿宋_GB2312" w:cs="Times New Roman Regular"/>
          <w:color w:val="000000" w:themeColor="text1"/>
          <w:sz w:val="28"/>
          <w:szCs w:val="28"/>
          <w14:textFill>
            <w14:solidFill>
              <w14:schemeClr w14:val="tx1"/>
            </w14:solidFill>
          </w14:textFill>
        </w:rPr>
        <w:t>种模式可供选择，通过比较本项目宜选择特许经营模式。</w:t>
      </w:r>
      <w:bookmarkEnd w:id="99"/>
    </w:p>
    <w:p w14:paraId="434CAC6E">
      <w:pPr>
        <w:pStyle w:val="5"/>
      </w:pPr>
      <w:bookmarkStart w:id="100" w:name="_Toc29975"/>
      <w:bookmarkStart w:id="101" w:name="_Toc20667"/>
      <w:bookmarkStart w:id="102" w:name="_Toc11432"/>
      <w:r>
        <w:rPr>
          <w:rFonts w:hint="eastAsia"/>
        </w:rPr>
        <w:t>1、从全生命周期成本来看</w:t>
      </w:r>
    </w:p>
    <w:p w14:paraId="404416B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前期转让阶段：</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采用TOT模式，</w:t>
      </w:r>
      <w:r>
        <w:rPr>
          <w:rFonts w:ascii="Times New Roman Regular" w:hAnsi="Times New Roman Regular" w:eastAsia="仿宋_GB2312" w:cs="Times New Roman Regular"/>
          <w:color w:val="000000" w:themeColor="text1"/>
          <w:sz w:val="28"/>
          <w:szCs w:val="28"/>
          <w14:textFill>
            <w14:solidFill>
              <w14:schemeClr w14:val="tx1"/>
            </w14:solidFill>
          </w14:textFill>
        </w:rPr>
        <w:t>政府通过将已建成的农村污水治理设施转让给特许经营者，能一次性获取资金流入。这不仅可盘活存量资产，还能缓解政府当下资金压力。</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而采用购买服务模式，无法回笼资金，而且每三年需要进行一次采购，大大增加了采购成本。</w:t>
      </w:r>
    </w:p>
    <w:p w14:paraId="723A5AC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运营阶段：特许经营者凭借专业运营管理经验与技术，可优化运营流程，例如精准调控药剂投放量、合理安排设备检修周期等，降低运营成本。同时，在设施更新改造上，其出于长期运营收益考量，会合理规划资金，实现资源高效利用，降低全生命周期成本。政府购买服务模式下，由于服务提供商通常仅负责污水处理服务，对于设施维护、升级改造等方面可能缺乏长远规划与统筹考虑。这可能导致在设施老化或技术更新时，产生较高的额外成本，增加项目全生命周期成本。</w:t>
      </w:r>
    </w:p>
    <w:p w14:paraId="64CC833B">
      <w:pPr>
        <w:pStyle w:val="5"/>
      </w:pPr>
      <w:r>
        <w:rPr>
          <w:rFonts w:hint="eastAsia"/>
        </w:rPr>
        <w:t>2</w:t>
      </w:r>
      <w:r>
        <w:t>、</w:t>
      </w:r>
      <w:r>
        <w:rPr>
          <w:rFonts w:hint="eastAsia"/>
        </w:rPr>
        <w:t>从</w:t>
      </w:r>
      <w:r>
        <w:t>产出或服务效果</w:t>
      </w:r>
      <w:r>
        <w:rPr>
          <w:rFonts w:hint="eastAsia"/>
        </w:rPr>
        <w:t>来看</w:t>
      </w:r>
    </w:p>
    <w:p w14:paraId="0D51000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特许经营者为获取长期收益，需保证污水处理设施稳定高效运行，确保出水水质达标。在长期运营中，其会积极引入新技术、新设备，提高处理效率与服务质量。</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而购买服务模式下，</w:t>
      </w:r>
      <w:r>
        <w:rPr>
          <w:rFonts w:ascii="Times New Roman Regular" w:hAnsi="Times New Roman Regular" w:eastAsia="仿宋_GB2312" w:cs="Times New Roman Regular"/>
          <w:color w:val="000000" w:themeColor="text1"/>
          <w:sz w:val="28"/>
          <w:szCs w:val="28"/>
          <w14:textFill>
            <w14:solidFill>
              <w14:schemeClr w14:val="tx1"/>
            </w14:solidFill>
          </w14:textFill>
        </w:rPr>
        <w:t>服务提供商往往只聚焦于合同约定的服务内容，可能缺乏对污水处理设施整体性能提升的主动性。例如，在设备老化影响处理效果时，可能因成本考量不愿及时更新设备。</w:t>
      </w:r>
    </w:p>
    <w:p w14:paraId="0B95C24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TOT 模式下特许经营者对设施运营全权负责，从设备维护到人员管理都有明确责任划分，有利于提升服务的连贯性与稳定性，保障产出效果。</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而购买服务模式下，服务商往往只负责日常运维，而对于设施的维修的责任边界难以清晰界定。</w:t>
      </w:r>
    </w:p>
    <w:p w14:paraId="777A2F4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60A08CA9">
      <w:pPr>
        <w:pStyle w:val="5"/>
      </w:pPr>
      <w:r>
        <w:rPr>
          <w:rFonts w:hint="eastAsia"/>
        </w:rPr>
        <w:t>3</w:t>
      </w:r>
      <w:r>
        <w:t>、</w:t>
      </w:r>
      <w:r>
        <w:rPr>
          <w:rFonts w:hint="eastAsia"/>
        </w:rPr>
        <w:t>从</w:t>
      </w:r>
      <w:r>
        <w:t>建设运营效率</w:t>
      </w:r>
      <w:r>
        <w:rPr>
          <w:rFonts w:hint="eastAsia"/>
        </w:rPr>
        <w:t>来看</w:t>
      </w:r>
    </w:p>
    <w:p w14:paraId="7E145D0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特许经营者多为污水处理领域专业企业，具备丰富经验与成熟技术</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，且具有较雄厚的资本实力</w:t>
      </w:r>
      <w:r>
        <w:rPr>
          <w:rFonts w:ascii="Times New Roman Regular" w:hAnsi="Times New Roman Regular" w:eastAsia="仿宋_GB2312" w:cs="Times New Roman Regular"/>
          <w:color w:val="000000" w:themeColor="text1"/>
          <w:sz w:val="28"/>
          <w:szCs w:val="28"/>
          <w14:textFill>
            <w14:solidFill>
              <w14:schemeClr w14:val="tx1"/>
            </w14:solidFill>
          </w14:textFill>
        </w:rPr>
        <w:t>。在设施运营中，能快速应对各种问题，如设备故障维修、水质突变处理等，提高运营效率。</w:t>
      </w:r>
    </w:p>
    <w:p w14:paraId="2DFE934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而购买服务模式下，</w:t>
      </w:r>
      <w:r>
        <w:rPr>
          <w:rFonts w:ascii="Times New Roman Regular" w:hAnsi="Times New Roman Regular" w:eastAsia="仿宋_GB2312" w:cs="Times New Roman Regular"/>
          <w:color w:val="000000" w:themeColor="text1"/>
          <w:sz w:val="28"/>
          <w:szCs w:val="28"/>
          <w14:textFill>
            <w14:solidFill>
              <w14:schemeClr w14:val="tx1"/>
            </w14:solidFill>
          </w14:textFill>
        </w:rPr>
        <w:t>服务提供商按合同提供服务，灵活性相对较差。面对农村污水治理中可能出现的突发情况或需求变化，响应速度可能较慢，影响运营效率。</w:t>
      </w:r>
    </w:p>
    <w:p w14:paraId="1A64955C">
      <w:pPr>
        <w:pStyle w:val="5"/>
      </w:pPr>
      <w:r>
        <w:rPr>
          <w:rFonts w:hint="eastAsia"/>
        </w:rPr>
        <w:t>4</w:t>
      </w:r>
      <w:r>
        <w:t>、</w:t>
      </w:r>
      <w:r>
        <w:rPr>
          <w:rFonts w:hint="eastAsia"/>
        </w:rPr>
        <w:t>从</w:t>
      </w:r>
      <w:r>
        <w:t>风险防范控制</w:t>
      </w:r>
      <w:r>
        <w:rPr>
          <w:rFonts w:hint="eastAsia"/>
        </w:rPr>
        <w:t>来看</w:t>
      </w:r>
    </w:p>
    <w:p w14:paraId="7BF9EB3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在 TOT 模式中，特许经营者</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在项目前期投入了大量资金，且</w:t>
      </w:r>
      <w:r>
        <w:rPr>
          <w:rFonts w:ascii="Times New Roman Regular" w:hAnsi="Times New Roman Regular" w:eastAsia="仿宋_GB2312" w:cs="Times New Roman Regular"/>
          <w:color w:val="000000" w:themeColor="text1"/>
          <w:sz w:val="28"/>
          <w:szCs w:val="28"/>
          <w14:textFill>
            <w14:solidFill>
              <w14:schemeClr w14:val="tx1"/>
            </w14:solidFill>
          </w14:textFill>
        </w:rPr>
        <w:t>承担运营过程中的大部分风险，如技术风险、市场风险等</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，将更加激励其提高运营效率加强成本控制，提高风险管理能力。而</w:t>
      </w:r>
      <w:r>
        <w:rPr>
          <w:rFonts w:ascii="Times New Roman Regular" w:hAnsi="Times New Roman Regular" w:eastAsia="仿宋_GB2312" w:cs="Times New Roman Regular"/>
          <w:color w:val="000000" w:themeColor="text1"/>
          <w:sz w:val="28"/>
          <w:szCs w:val="28"/>
          <w14:textFill>
            <w14:solidFill>
              <w14:schemeClr w14:val="tx1"/>
            </w14:solidFill>
          </w14:textFill>
        </w:rPr>
        <w:t>政府</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将绝大部分风险都转移至特许经营者是，自身</w:t>
      </w:r>
      <w:r>
        <w:rPr>
          <w:rFonts w:ascii="Times New Roman Regular" w:hAnsi="Times New Roman Regular" w:eastAsia="仿宋_GB2312" w:cs="Times New Roman Regular"/>
          <w:color w:val="000000" w:themeColor="text1"/>
          <w:sz w:val="28"/>
          <w:szCs w:val="28"/>
          <w14:textFill>
            <w14:solidFill>
              <w14:schemeClr w14:val="tx1"/>
            </w14:solidFill>
          </w14:textFill>
        </w:rPr>
        <w:t>只需做好监管工作。政府购买服务模式下，政府需承担较多风险。如服务提供商因经营不善无法继续提供服务，政府需重新寻找服务商，可能导致服务中断，影响农村污水治理工作。政府在应对专业技术风险、市场风险等方面，相较于专业的特许经营者，能力相对薄弱。一旦出现风险，可能无法及时有效解决，影响项目正常运行。</w:t>
      </w:r>
    </w:p>
    <w:p w14:paraId="32FC440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综上所述，从项目全生命周期成本、产出或服务效果、建设运营效率、风险防范控制等方面综合比较，TOT 模式在农村污水治理设施建设运营中更具优势，更适宜农村污水治理设施采用，有助于实现农村污水治理的可持续发展。</w:t>
      </w:r>
    </w:p>
    <w:p w14:paraId="3E47D380">
      <w:pPr>
        <w:pStyle w:val="43"/>
        <w:spacing w:before="156" w:after="156"/>
      </w:pPr>
    </w:p>
    <w:p w14:paraId="7FA3BB55">
      <w:pPr>
        <w:pStyle w:val="4"/>
      </w:pPr>
      <w:bookmarkStart w:id="103" w:name="_Toc188530556"/>
      <w:r>
        <w:t>（五）参与意愿分析</w:t>
      </w:r>
      <w:bookmarkEnd w:id="100"/>
      <w:bookmarkEnd w:id="101"/>
      <w:bookmarkEnd w:id="102"/>
      <w:bookmarkEnd w:id="103"/>
    </w:p>
    <w:p w14:paraId="6515585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04" w:name="_Toc3210"/>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农村污水治理市场巨大，</w:t>
      </w:r>
      <w:r>
        <w:rPr>
          <w:rFonts w:ascii="Times New Roman Regular" w:hAnsi="Times New Roman Regular" w:eastAsia="仿宋_GB2312" w:cs="Times New Roman Regular"/>
          <w:color w:val="000000" w:themeColor="text1"/>
          <w:sz w:val="28"/>
          <w:szCs w:val="28"/>
          <w14:textFill>
            <w14:solidFill>
              <w14:schemeClr w14:val="tx1"/>
            </w14:solidFill>
          </w14:textFill>
        </w:rPr>
        <w:t>参与农村污水治理 TOT 项目，有助于</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特许经营者</w:t>
      </w:r>
      <w:r>
        <w:rPr>
          <w:rFonts w:ascii="Times New Roman Regular" w:hAnsi="Times New Roman Regular" w:eastAsia="仿宋_GB2312" w:cs="Times New Roman Regular"/>
          <w:color w:val="000000" w:themeColor="text1"/>
          <w:sz w:val="28"/>
          <w:szCs w:val="28"/>
          <w14:textFill>
            <w14:solidFill>
              <w14:schemeClr w14:val="tx1"/>
            </w14:solidFill>
          </w14:textFill>
        </w:rPr>
        <w:t>树立良好的环保企业形象，提升品牌知名度。积累经验和口碑后，可进一步拓展其他的污水处理项目，扩大市场份额。例如，在某一地区农村污水治理项目取得良好效果后，能吸引周边地区政府的关注，为其参与更多项目创造机会。</w:t>
      </w:r>
    </w:p>
    <w:p w14:paraId="516B94A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在 TOT 模式下，</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特许经营者</w:t>
      </w:r>
      <w:r>
        <w:rPr>
          <w:rFonts w:ascii="Times New Roman Regular" w:hAnsi="Times New Roman Regular" w:eastAsia="仿宋_GB2312" w:cs="Times New Roman Regular"/>
          <w:color w:val="000000" w:themeColor="text1"/>
          <w:sz w:val="28"/>
          <w:szCs w:val="28"/>
          <w14:textFill>
            <w14:solidFill>
              <w14:schemeClr w14:val="tx1"/>
            </w14:solidFill>
          </w14:textFill>
        </w:rPr>
        <w:t>通过接手已建成的农村污水处理设施，能快速进入运营阶段并产生收益</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减少了建设阶段诸如工程延期、超预算等风险。农村污水处理 TOT 项目收益来源于污水处理费用，且有政府与社会资本的特许经营合同作为保障</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具有相对稳定的现金流，风险较低</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p>
    <w:p w14:paraId="4756A32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根据初步</w:t>
      </w:r>
      <w:r>
        <w:rPr>
          <w:rFonts w:ascii="Times New Roman Regular" w:hAnsi="Times New Roman Regular" w:eastAsia="仿宋_GB2312" w:cs="Times New Roman Regular"/>
          <w:color w:val="000000" w:themeColor="text1"/>
          <w:sz w:val="28"/>
          <w:szCs w:val="28"/>
          <w14:textFill>
            <w14:solidFill>
              <w14:schemeClr w14:val="tx1"/>
            </w14:solidFill>
          </w14:textFill>
        </w:rPr>
        <w:t>市场</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反馈</w:t>
      </w:r>
      <w:r>
        <w:rPr>
          <w:rFonts w:ascii="Times New Roman Regular" w:hAnsi="Times New Roman Regular" w:eastAsia="仿宋_GB2312" w:cs="Times New Roman Regular"/>
          <w:color w:val="000000" w:themeColor="text1"/>
          <w:sz w:val="28"/>
          <w:szCs w:val="28"/>
          <w14:textFill>
            <w14:solidFill>
              <w14:schemeClr w14:val="tx1"/>
            </w14:solidFill>
          </w14:textFill>
        </w:rPr>
        <w:t>，多家潜在</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运营单位有</w:t>
      </w:r>
      <w:r>
        <w:rPr>
          <w:rFonts w:ascii="Times New Roman Regular" w:hAnsi="Times New Roman Regular" w:eastAsia="仿宋_GB2312" w:cs="Times New Roman Regular"/>
          <w:color w:val="000000" w:themeColor="text1"/>
          <w:sz w:val="28"/>
          <w:szCs w:val="28"/>
          <w14:textFill>
            <w14:solidFill>
              <w14:schemeClr w14:val="tx1"/>
            </w14:solidFill>
          </w14:textFill>
        </w:rPr>
        <w:t>意愿参与</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w:t>
      </w:r>
      <w:r>
        <w:rPr>
          <w:rFonts w:ascii="Times New Roman Regular" w:hAnsi="Times New Roman Regular" w:eastAsia="仿宋_GB2312" w:cs="Times New Roman Regular"/>
          <w:color w:val="000000" w:themeColor="text1"/>
          <w:sz w:val="28"/>
          <w:szCs w:val="28"/>
          <w14:textFill>
            <w14:solidFill>
              <w14:schemeClr w14:val="tx1"/>
            </w14:solidFill>
          </w14:textFill>
        </w:rPr>
        <w:t>。</w:t>
      </w:r>
      <w:bookmarkEnd w:id="104"/>
    </w:p>
    <w:p w14:paraId="61BE79C4">
      <w:pPr>
        <w:pStyle w:val="4"/>
      </w:pPr>
      <w:bookmarkStart w:id="105" w:name="_Toc28006"/>
      <w:bookmarkStart w:id="106" w:name="_Toc5345"/>
      <w:bookmarkStart w:id="107" w:name="_Toc188530557"/>
      <w:bookmarkStart w:id="108" w:name="_Toc28089"/>
      <w:r>
        <w:t>（六）合法合规性分析</w:t>
      </w:r>
      <w:bookmarkEnd w:id="105"/>
      <w:bookmarkEnd w:id="106"/>
      <w:bookmarkEnd w:id="107"/>
      <w:bookmarkEnd w:id="108"/>
    </w:p>
    <w:p w14:paraId="6352498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09" w:name="_Toc24257"/>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综合上述分析，</w:t>
      </w:r>
      <w:r>
        <w:rPr>
          <w:rFonts w:ascii="Times New Roman Regular" w:hAnsi="Times New Roman Regular" w:eastAsia="仿宋_GB2312" w:cs="Times New Roman Regular"/>
          <w:color w:val="000000" w:themeColor="text1"/>
          <w:sz w:val="28"/>
          <w:szCs w:val="28"/>
          <w14:textFill>
            <w14:solidFill>
              <w14:schemeClr w14:val="tx1"/>
            </w14:solidFill>
          </w14:textFill>
        </w:rPr>
        <w:t>本项目回报机制为使用者付费，属于《国务院办公厅转发国家发展改革委、财政部&lt;关于规范实施政府和社会资本合作新机制的指导意见&gt;的通知》（国办函〔2023〕115号）中明确的重点领域，本方案中特许经营安排不存在违反法律法规、政策文件精神的情况。</w:t>
      </w:r>
      <w:bookmarkEnd w:id="109"/>
    </w:p>
    <w:p w14:paraId="66DC1E34">
      <w:pPr>
        <w:pStyle w:val="4"/>
      </w:pPr>
      <w:bookmarkStart w:id="110" w:name="_Toc27739"/>
      <w:bookmarkStart w:id="111" w:name="_Toc9392"/>
      <w:bookmarkStart w:id="112" w:name="_Toc188530558"/>
      <w:bookmarkStart w:id="113" w:name="_Toc11822"/>
      <w:r>
        <w:t>（七）特许经营风险分析</w:t>
      </w:r>
      <w:bookmarkEnd w:id="110"/>
      <w:bookmarkEnd w:id="111"/>
      <w:bookmarkEnd w:id="112"/>
      <w:bookmarkEnd w:id="113"/>
    </w:p>
    <w:p w14:paraId="257FA06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14" w:name="_Toc1577"/>
      <w:r>
        <w:rPr>
          <w:rFonts w:ascii="Times New Roman Regular" w:hAnsi="Times New Roman Regular" w:eastAsia="仿宋_GB2312" w:cs="Times New Roman Regular"/>
          <w:color w:val="000000" w:themeColor="text1"/>
          <w:sz w:val="28"/>
          <w:szCs w:val="28"/>
          <w14:textFill>
            <w14:solidFill>
              <w14:schemeClr w14:val="tx1"/>
            </w14:solidFill>
          </w14:textFill>
        </w:rPr>
        <w:t>本项目采用特许经营模式存在一定的风险，但这些风险是可以可控的。以下是一些可能的风险及其控制措施：</w:t>
      </w:r>
      <w:bookmarkEnd w:id="114"/>
    </w:p>
    <w:p w14:paraId="2C38B43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15" w:name="_Toc733"/>
      <w:r>
        <w:rPr>
          <w:rFonts w:ascii="Times New Roman Regular" w:hAnsi="Times New Roman Regular" w:eastAsia="仿宋_GB2312" w:cs="Times New Roman Regular"/>
          <w:color w:val="000000" w:themeColor="text1"/>
          <w:sz w:val="28"/>
          <w:szCs w:val="28"/>
          <w14:textFill>
            <w14:solidFill>
              <w14:schemeClr w14:val="tx1"/>
            </w14:solidFill>
          </w14:textFill>
        </w:rPr>
        <w:t>1、财务风险：特许经营项目通常需要较大的投资，而项目的收益回报可能存在不确定性。这可能导致特许经营单位财务状况紧张，影响项目的正常运营。控制措施：编制特许经营实施方案时明确收费渠道和方式，合理预测项目收益和成本，满足特许经营单位持续运营要求；加强特许经营单位财务管理和风险评估，确保项目财务可持续性；政府方及时付费。</w:t>
      </w:r>
      <w:bookmarkEnd w:id="115"/>
    </w:p>
    <w:p w14:paraId="1667131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16" w:name="_Toc14489"/>
      <w:r>
        <w:rPr>
          <w:rFonts w:ascii="Times New Roman Regular" w:hAnsi="Times New Roman Regular" w:eastAsia="仿宋_GB2312" w:cs="Times New Roman Regular"/>
          <w:color w:val="000000" w:themeColor="text1"/>
          <w:sz w:val="28"/>
          <w:szCs w:val="28"/>
          <w14:textFill>
            <w14:solidFill>
              <w14:schemeClr w14:val="tx1"/>
            </w14:solidFill>
          </w14:textFill>
        </w:rPr>
        <w:t>2、合作风险：在特许经营项目中，特许经营合作方的能力和诚信程度可能影响项目的成功与否。控制措施：严格筛选特许经营合作方，通过特许经营协议明确各方权责，确保合作顺利进行；建立有效的沟通机制，及时解决合作过程中出现的问题。</w:t>
      </w:r>
      <w:bookmarkEnd w:id="116"/>
    </w:p>
    <w:p w14:paraId="0B5493D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br w:type="page"/>
      </w:r>
    </w:p>
    <w:p w14:paraId="46B8F001">
      <w:pPr>
        <w:pStyle w:val="3"/>
      </w:pPr>
      <w:bookmarkStart w:id="117" w:name="_Toc188530559"/>
      <w:bookmarkStart w:id="118" w:name="_Toc7504"/>
      <w:bookmarkStart w:id="119" w:name="_Toc13641"/>
      <w:bookmarkStart w:id="120" w:name="_Toc3746"/>
      <w:r>
        <w:t>四、特许经营主要内容</w:t>
      </w:r>
      <w:bookmarkEnd w:id="117"/>
      <w:bookmarkEnd w:id="118"/>
      <w:bookmarkEnd w:id="119"/>
      <w:bookmarkEnd w:id="120"/>
    </w:p>
    <w:p w14:paraId="5B391134">
      <w:pPr>
        <w:pStyle w:val="4"/>
      </w:pPr>
      <w:bookmarkStart w:id="121" w:name="_Toc188530560"/>
      <w:bookmarkStart w:id="122" w:name="_Toc1066"/>
      <w:bookmarkStart w:id="123" w:name="_Toc32755"/>
      <w:bookmarkStart w:id="124" w:name="_Toc28694"/>
      <w:r>
        <w:t>（</w:t>
      </w:r>
      <w:r>
        <w:rPr>
          <w:rFonts w:hint="eastAsia"/>
        </w:rPr>
        <w:t>一</w:t>
      </w:r>
      <w:r>
        <w:t>）实施方式</w:t>
      </w:r>
      <w:bookmarkEnd w:id="121"/>
      <w:bookmarkEnd w:id="122"/>
      <w:bookmarkEnd w:id="123"/>
      <w:bookmarkEnd w:id="124"/>
    </w:p>
    <w:p w14:paraId="5681CC0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25" w:name="_Toc9651"/>
      <w:bookmarkStart w:id="126" w:name="_Toc1250"/>
      <w:bookmarkStart w:id="127" w:name="_Toc2031"/>
      <w:r>
        <w:rPr>
          <w:rFonts w:ascii="Times New Roman Regular" w:hAnsi="Times New Roman Regular" w:eastAsia="仿宋_GB2312" w:cs="Times New Roman Regular"/>
          <w:color w:val="000000" w:themeColor="text1"/>
          <w:sz w:val="28"/>
          <w:szCs w:val="28"/>
          <w14:textFill>
            <w14:solidFill>
              <w14:schemeClr w14:val="tx1"/>
            </w14:solidFill>
          </w14:textFill>
        </w:rPr>
        <w:t>本项目采用“TOT”的模式实施项目，具体模式如下：</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w:t>
      </w:r>
      <w:r>
        <w:rPr>
          <w:rFonts w:ascii="Times New Roman Regular" w:hAnsi="Times New Roman Regular" w:eastAsia="仿宋_GB2312" w:cs="Times New Roman Regular"/>
          <w:color w:val="000000" w:themeColor="text1"/>
          <w:sz w:val="28"/>
          <w:szCs w:val="28"/>
          <w14:textFill>
            <w14:solidFill>
              <w14:schemeClr w14:val="tx1"/>
            </w14:solidFill>
          </w14:textFill>
        </w:rPr>
        <w:t>采用TOT模式（转让－运营－移交模式）</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实施，政府根据第三方评估机构确定的本项目特许经营权价值确定特许经营权转让费的金额，通过公开招标选定特许经营单位，由其向政府支付特许经营权转让费，并获得本项目3</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年的特许经营权，政府向其支付服务费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特许经营期满后，特许经营单位将本项目项下的所有设施及资产无偿移交给区政府或其指定机构。</w:t>
      </w:r>
    </w:p>
    <w:p w14:paraId="72D75F0B">
      <w:pPr>
        <w:pStyle w:val="4"/>
      </w:pPr>
      <w:bookmarkStart w:id="128" w:name="_Toc188530561"/>
      <w:r>
        <w:t>（</w:t>
      </w:r>
      <w:r>
        <w:rPr>
          <w:rFonts w:hint="eastAsia"/>
        </w:rPr>
        <w:t>二</w:t>
      </w:r>
      <w:r>
        <w:t>）特许经营期限</w:t>
      </w:r>
      <w:bookmarkEnd w:id="125"/>
      <w:bookmarkEnd w:id="126"/>
      <w:bookmarkEnd w:id="127"/>
      <w:bookmarkEnd w:id="128"/>
    </w:p>
    <w:p w14:paraId="4B6610F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29" w:name="_Toc21948"/>
      <w:r>
        <w:rPr>
          <w:rFonts w:ascii="Times New Roman Regular" w:hAnsi="Times New Roman Regular" w:eastAsia="仿宋_GB2312" w:cs="Times New Roman Regular"/>
          <w:color w:val="000000" w:themeColor="text1"/>
          <w:sz w:val="28"/>
          <w:szCs w:val="28"/>
          <w14:textFill>
            <w14:solidFill>
              <w14:schemeClr w14:val="tx1"/>
            </w14:solidFill>
          </w14:textFill>
        </w:rPr>
        <w:t>根据</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国务院办公厅转发国家发展改革委、财政部</w:t>
      </w:r>
      <w:bookmarkEnd w:id="129"/>
      <w:bookmarkStart w:id="130" w:name="_Toc492"/>
      <w:r>
        <w:rPr>
          <w:rFonts w:ascii="Times New Roman Regular" w:hAnsi="Times New Roman Regular" w:eastAsia="仿宋_GB2312" w:cs="Times New Roman Regular"/>
          <w:color w:val="000000" w:themeColor="text1"/>
          <w:sz w:val="28"/>
          <w:szCs w:val="28"/>
          <w14:textFill>
            <w14:solidFill>
              <w14:schemeClr w14:val="tx1"/>
            </w14:solidFill>
          </w14:textFill>
        </w:rPr>
        <w:t>&lt;关于规范实施政府和社会资本合作新机制的指导意见&gt;的通知</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（国办函〔2023〕115号）第八条</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根据国家有关规定和项目建设投资、运营成本、投资回收年限等，合理确定特许经营期限，充分保障特许经营者合法权益。特许经营期限原则上不超过40年，投资规模大、回报周期长的特许经营项目可以根据实际情况适当延长，法律法规另有规定的除外。”本项目特许经营期限设置为</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30</w:t>
      </w:r>
      <w:r>
        <w:rPr>
          <w:rFonts w:ascii="Times New Roman Regular" w:hAnsi="Times New Roman Regular" w:eastAsia="仿宋_GB2312" w:cs="Times New Roman Regular"/>
          <w:color w:val="000000" w:themeColor="text1"/>
          <w:sz w:val="28"/>
          <w:szCs w:val="28"/>
          <w14:textFill>
            <w14:solidFill>
              <w14:schemeClr w14:val="tx1"/>
            </w14:solidFill>
          </w14:textFill>
        </w:rPr>
        <w:t>年</w:t>
      </w:r>
      <w:bookmarkEnd w:id="130"/>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，期满后，特许经营者将项目设施无偿移交实施机构或其指定的其他机构。</w:t>
      </w:r>
    </w:p>
    <w:p w14:paraId="25A6E4F9">
      <w:pPr>
        <w:pStyle w:val="4"/>
      </w:pPr>
      <w:bookmarkStart w:id="131" w:name="_Toc24285"/>
      <w:bookmarkStart w:id="132" w:name="_Toc13317"/>
      <w:bookmarkStart w:id="133" w:name="_Toc17029"/>
      <w:bookmarkStart w:id="134" w:name="_Toc188530562"/>
      <w:r>
        <w:t>（</w:t>
      </w:r>
      <w:r>
        <w:rPr>
          <w:rFonts w:hint="eastAsia"/>
        </w:rPr>
        <w:t>三</w:t>
      </w:r>
      <w:r>
        <w:t>）资产权属</w:t>
      </w:r>
      <w:bookmarkEnd w:id="131"/>
      <w:bookmarkEnd w:id="132"/>
      <w:bookmarkEnd w:id="133"/>
      <w:bookmarkEnd w:id="134"/>
    </w:p>
    <w:p w14:paraId="0EAAF23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35" w:name="_Toc21353"/>
      <w:r>
        <w:rPr>
          <w:rFonts w:ascii="Times New Roman Regular" w:hAnsi="Times New Roman Regular" w:eastAsia="仿宋_GB2312" w:cs="Times New Roman Regular"/>
          <w:color w:val="000000" w:themeColor="text1"/>
          <w:sz w:val="28"/>
          <w:szCs w:val="28"/>
          <w14:textFill>
            <w14:solidFill>
              <w14:schemeClr w14:val="tx1"/>
            </w14:solidFill>
          </w14:textFill>
        </w:rPr>
        <w:t>特许经营期间，本项目所涉及资产（包括经营性项目资产）的所有权始终归政府方所有，特许经营单位享有本项目设施的经营权及基于该经营权的收益权。</w:t>
      </w:r>
      <w:bookmarkEnd w:id="135"/>
    </w:p>
    <w:p w14:paraId="0B07315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4F1BB01A">
      <w:pPr>
        <w:pStyle w:val="4"/>
      </w:pPr>
      <w:bookmarkStart w:id="136" w:name="_Toc31092"/>
      <w:bookmarkStart w:id="137" w:name="_Toc9792"/>
      <w:bookmarkStart w:id="138" w:name="_Toc1821"/>
      <w:bookmarkStart w:id="139" w:name="_Toc188530563"/>
      <w:r>
        <w:rPr>
          <w:rFonts w:hint="eastAsia"/>
        </w:rPr>
        <w:t>（四）</w:t>
      </w:r>
      <w:r>
        <w:t>特许经营主要原则和合作边界</w:t>
      </w:r>
      <w:bookmarkEnd w:id="136"/>
      <w:bookmarkEnd w:id="137"/>
      <w:bookmarkEnd w:id="138"/>
      <w:bookmarkEnd w:id="139"/>
    </w:p>
    <w:p w14:paraId="42846347">
      <w:pPr>
        <w:pStyle w:val="5"/>
      </w:pPr>
      <w:bookmarkStart w:id="140" w:name="_Toc23953"/>
      <w:r>
        <w:rPr>
          <w:rFonts w:hint="eastAsia"/>
        </w:rPr>
        <w:t>1、项目付费</w:t>
      </w:r>
    </w:p>
    <w:p w14:paraId="6BE17C9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本项目由政府统筹使用</w:t>
      </w:r>
      <w:r>
        <w:rPr>
          <w:rFonts w:ascii="Times New Roman Regular" w:hAnsi="Times New Roman Regular" w:eastAsia="仿宋_GB2312" w:cs="Times New Roman Regular"/>
          <w:color w:val="000000" w:themeColor="text1"/>
          <w:sz w:val="28"/>
          <w:szCs w:val="28"/>
          <w14:textFill>
            <w14:solidFill>
              <w14:schemeClr w14:val="tx1"/>
            </w14:solidFill>
          </w14:textFill>
        </w:rPr>
        <w:t>缴入国库的污水处理费与地方财政补贴资金</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，按照合同约定代使用者</w:t>
      </w:r>
      <w:r>
        <w:rPr>
          <w:rFonts w:ascii="Times New Roman Regular" w:hAnsi="Times New Roman Regular" w:eastAsia="仿宋_GB2312" w:cs="Times New Roman Regular"/>
          <w:color w:val="000000" w:themeColor="text1"/>
          <w:sz w:val="28"/>
          <w:szCs w:val="28"/>
          <w14:textFill>
            <w14:solidFill>
              <w14:schemeClr w14:val="tx1"/>
            </w14:solidFill>
          </w14:textFill>
        </w:rPr>
        <w:t>向提供</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w:t>
      </w:r>
      <w:r>
        <w:rPr>
          <w:rFonts w:ascii="Times New Roman Regular" w:hAnsi="Times New Roman Regular" w:eastAsia="仿宋_GB2312" w:cs="Times New Roman Regular"/>
          <w:color w:val="000000" w:themeColor="text1"/>
          <w:sz w:val="28"/>
          <w:szCs w:val="28"/>
          <w14:textFill>
            <w14:solidFill>
              <w14:schemeClr w14:val="tx1"/>
            </w14:solidFill>
          </w14:textFill>
        </w:rPr>
        <w:t>单位支付</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污水处理</w:t>
      </w:r>
      <w:r>
        <w:rPr>
          <w:rFonts w:ascii="Times New Roman Regular" w:hAnsi="Times New Roman Regular" w:eastAsia="仿宋_GB2312" w:cs="Times New Roman Regular"/>
          <w:color w:val="000000" w:themeColor="text1"/>
          <w:sz w:val="28"/>
          <w:szCs w:val="28"/>
          <w14:textFill>
            <w14:solidFill>
              <w14:schemeClr w14:val="tx1"/>
            </w14:solidFill>
          </w14:textFill>
        </w:rPr>
        <w:t>服务费</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p>
    <w:p w14:paraId="4474EED1">
      <w:pPr>
        <w:pStyle w:val="6"/>
      </w:pPr>
      <w:r>
        <w:rPr>
          <w:rFonts w:hint="eastAsia"/>
        </w:rPr>
        <w:t>（1）年度服务费的确定</w:t>
      </w:r>
    </w:p>
    <w:p w14:paraId="54FA927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根据财务测算，本项目年度服务费9</w:t>
      </w:r>
      <w:r>
        <w:rPr>
          <w:rFonts w:ascii="Times New Roman Regular" w:hAnsi="Times New Roman Regular" w:eastAsia="仿宋_GB2312" w:cs="Times New Roman Regular"/>
          <w:color w:val="000000" w:themeColor="text1"/>
          <w:sz w:val="28"/>
          <w:szCs w:val="28"/>
          <w14:textFill>
            <w14:solidFill>
              <w14:schemeClr w14:val="tx1"/>
            </w14:solidFill>
          </w14:textFill>
        </w:rPr>
        <w:t>19</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万元，将作为本项目招标控制价，由特许经营单位投标报价确定，后续实际支付的服务费还将跟绩效考核挂钩。</w:t>
      </w:r>
    </w:p>
    <w:p w14:paraId="2BD24842">
      <w:pPr>
        <w:pStyle w:val="6"/>
      </w:pPr>
      <w:r>
        <w:rPr>
          <w:rFonts w:hint="eastAsia"/>
        </w:rPr>
        <w:t>（2）调价机制</w:t>
      </w:r>
    </w:p>
    <w:p w14:paraId="312F9B1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本项目</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年度服务费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调整每满3年定期进行一次，调价日为第3</w:t>
      </w:r>
      <w:r>
        <w:rPr>
          <w:rFonts w:ascii="Times New Roman Regular" w:hAnsi="Times New Roman Regular" w:eastAsia="仿宋_GB2312" w:cs="Times New Roman Regular"/>
          <w:color w:val="000000" w:themeColor="text1"/>
          <w:sz w:val="28"/>
          <w:szCs w:val="28"/>
          <w:vertAlign w:val="subscript"/>
          <w14:textFill>
            <w14:solidFill>
              <w14:schemeClr w14:val="tx1"/>
            </w14:solidFill>
          </w14:textFill>
        </w:rPr>
        <w:t>n+1</w:t>
      </w:r>
      <w:r>
        <w:rPr>
          <w:rFonts w:ascii="Times New Roman Regular" w:hAnsi="Times New Roman Regular" w:eastAsia="仿宋_GB2312" w:cs="Times New Roman Regular"/>
          <w:color w:val="000000" w:themeColor="text1"/>
          <w:sz w:val="28"/>
          <w:szCs w:val="28"/>
          <w14:textFill>
            <w14:solidFill>
              <w14:schemeClr w14:val="tx1"/>
            </w14:solidFill>
          </w14:textFill>
        </w:rPr>
        <w:t>个运营年的第一个运营日（n为自然数，从1开始取值,为调价次数）。双方按照调价公式对</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年度服务费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进行调整，且下一个调价日到达之前，</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年度服务费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维持上一次确定的</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金额</w:t>
      </w:r>
      <w:r>
        <w:rPr>
          <w:rFonts w:ascii="Times New Roman Regular" w:hAnsi="Times New Roman Regular" w:eastAsia="仿宋_GB2312" w:cs="Times New Roman Regular"/>
          <w:color w:val="000000" w:themeColor="text1"/>
          <w:sz w:val="28"/>
          <w:szCs w:val="28"/>
          <w14:textFill>
            <w14:solidFill>
              <w14:schemeClr w14:val="tx1"/>
            </w14:solidFill>
          </w14:textFill>
        </w:rPr>
        <w:t xml:space="preserve">不变。 </w:t>
      </w:r>
    </w:p>
    <w:p w14:paraId="0A5C9C7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特许经营权合作方应提前向实施机构提出调价书面申请；实施机构收到书面申请后，开始评审调价申请，如无异议，由其报送相关主管部门审批。在主管部门审批通过与调整价格确定后，于调价日正式生效。</w:t>
      </w:r>
    </w:p>
    <w:p w14:paraId="1DEA568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运营期满3年时，政府方对</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w:t>
      </w:r>
      <w:r>
        <w:rPr>
          <w:rFonts w:ascii="Times New Roman Regular" w:hAnsi="Times New Roman Regular" w:eastAsia="仿宋_GB2312" w:cs="Times New Roman Regular"/>
          <w:color w:val="000000" w:themeColor="text1"/>
          <w:sz w:val="28"/>
          <w:szCs w:val="28"/>
          <w14:textFill>
            <w14:solidFill>
              <w14:schemeClr w14:val="tx1"/>
            </w14:solidFill>
          </w14:textFill>
        </w:rPr>
        <w:t>的运营成本进行一次监审，</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确定各主要成本项构成比例</w:t>
      </w:r>
      <w:r>
        <w:rPr>
          <w:rFonts w:ascii="Times New Roman Regular" w:hAnsi="Times New Roman Regular" w:eastAsia="仿宋_GB2312" w:cs="Times New Roman Regular"/>
          <w:color w:val="000000" w:themeColor="text1"/>
          <w:sz w:val="28"/>
          <w:szCs w:val="28"/>
          <w14:textFill>
            <w14:solidFill>
              <w14:schemeClr w14:val="tx1"/>
            </w14:solidFill>
          </w14:textFill>
        </w:rPr>
        <w:t xml:space="preserve">。 </w:t>
      </w:r>
    </w:p>
    <w:p w14:paraId="4206F4E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（2）调价公式</w:t>
      </w:r>
    </w:p>
    <w:p w14:paraId="1FED222C">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调价公式如下：</w:t>
      </w:r>
    </w:p>
    <w:p w14:paraId="6744C1EE">
      <w:pPr>
        <w:ind w:firstLine="560" w:firstLineChars="20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P</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 P</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×K</w:t>
      </w:r>
    </w:p>
    <w:p w14:paraId="53D0C065">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其中：</w:t>
      </w:r>
    </w:p>
    <w:p w14:paraId="0A71C2FA">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n:调价年份（每满三年可申请调价一次）；n≥3</w:t>
      </w:r>
    </w:p>
    <w:p w14:paraId="4951B3F5">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P</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：上一个调价年度实际执行的年度服务费。当n=3时 P</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等于 P</w:t>
      </w:r>
      <w:r>
        <w:rPr>
          <w:rFonts w:hint="eastAsia" w:ascii="仿宋_GB2312" w:eastAsia="仿宋_GB2312"/>
          <w:color w:val="000000" w:themeColor="text1"/>
          <w:sz w:val="28"/>
          <w:szCs w:val="28"/>
          <w:vertAlign w:val="subscript"/>
          <w14:textFill>
            <w14:solidFill>
              <w14:schemeClr w14:val="tx1"/>
            </w14:solidFill>
          </w14:textFill>
        </w:rPr>
        <w:t>0</w:t>
      </w:r>
      <w:r>
        <w:rPr>
          <w:rFonts w:hint="eastAsia" w:ascii="仿宋_GB2312" w:eastAsia="仿宋_GB2312"/>
          <w:color w:val="000000" w:themeColor="text1"/>
          <w:sz w:val="28"/>
          <w:szCs w:val="28"/>
          <w14:textFill>
            <w14:solidFill>
              <w14:schemeClr w14:val="tx1"/>
            </w14:solidFill>
          </w14:textFill>
        </w:rPr>
        <w:t>为初始运营年份（以下简称初始年）服务费，指项目第一年实际执行的年度服务费金额；</w:t>
      </w:r>
    </w:p>
    <w:p w14:paraId="5E718E40">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P</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 xml:space="preserve"> ：为第n年调整后的年度服务费；</w:t>
      </w:r>
    </w:p>
    <w:p w14:paraId="456B1BB2">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K ： 为调价系数。K按以下原则进行计算：</w:t>
      </w:r>
    </w:p>
    <w:p w14:paraId="39124B77">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首先，每一个调价年份均按以下公式计算出k：</w:t>
      </w:r>
    </w:p>
    <w:p w14:paraId="0DE5D8DE">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k= C</w:t>
      </w:r>
      <w:r>
        <w:rPr>
          <w:rFonts w:hint="eastAsia" w:ascii="仿宋_GB2312" w:eastAsia="仿宋_GB2312"/>
          <w:color w:val="000000" w:themeColor="text1"/>
          <w:sz w:val="28"/>
          <w:szCs w:val="28"/>
          <w:vertAlign w:val="subscript"/>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×(E</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/E</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de-DE"/>
          <w14:textFill>
            <w14:solidFill>
              <w14:schemeClr w14:val="tx1"/>
            </w14:solidFill>
          </w14:textFill>
        </w:rPr>
        <w:t>C</w:t>
      </w:r>
      <w:r>
        <w:rPr>
          <w:rFonts w:hint="eastAsia" w:ascii="仿宋_GB2312" w:eastAsia="仿宋_GB2312"/>
          <w:color w:val="000000" w:themeColor="text1"/>
          <w:sz w:val="28"/>
          <w:szCs w:val="28"/>
          <w:vertAlign w:val="subscript"/>
          <w:lang w:val="de-DE"/>
          <w14:textFill>
            <w14:solidFill>
              <w14:schemeClr w14:val="tx1"/>
            </w14:solidFill>
          </w14:textFill>
        </w:rPr>
        <w:t>2</w:t>
      </w:r>
      <w:r>
        <w:rPr>
          <w:rFonts w:hint="eastAsia" w:ascii="仿宋_GB2312" w:eastAsia="仿宋_GB2312"/>
          <w:color w:val="000000" w:themeColor="text1"/>
          <w:sz w:val="28"/>
          <w:szCs w:val="28"/>
          <w:lang w:val="de-DE"/>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(L</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/L</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)＋C</w:t>
      </w:r>
      <w:r>
        <w:rPr>
          <w:rFonts w:ascii="仿宋_GB2312" w:eastAsia="仿宋_GB2312"/>
          <w:color w:val="000000" w:themeColor="text1"/>
          <w:sz w:val="28"/>
          <w:szCs w:val="28"/>
          <w:vertAlign w:val="subscript"/>
          <w:lang w:val="de-DE"/>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 (CPI</w:t>
      </w:r>
      <w:r>
        <w:rPr>
          <w:rFonts w:hint="eastAsia" w:ascii="仿宋_GB2312" w:eastAsia="仿宋_GB2312"/>
          <w:color w:val="000000" w:themeColor="text1"/>
          <w:sz w:val="28"/>
          <w:szCs w:val="28"/>
          <w:vertAlign w:val="subscript"/>
          <w14:textFill>
            <w14:solidFill>
              <w14:schemeClr w14:val="tx1"/>
            </w14:solidFill>
          </w14:textFill>
        </w:rPr>
        <w:t>n－1</w:t>
      </w:r>
      <w:r>
        <w:rPr>
          <w:rFonts w:hint="eastAsia" w:ascii="仿宋_GB2312" w:eastAsia="仿宋_GB2312"/>
          <w:color w:val="000000" w:themeColor="text1"/>
          <w:sz w:val="28"/>
          <w:szCs w:val="28"/>
          <w14:textFill>
            <w14:solidFill>
              <w14:schemeClr w14:val="tx1"/>
            </w14:solidFill>
          </w14:textFill>
        </w:rPr>
        <w:t>/100)×(CPI</w:t>
      </w:r>
      <w:r>
        <w:rPr>
          <w:rFonts w:hint="eastAsia" w:ascii="仿宋_GB2312" w:eastAsia="仿宋_GB2312"/>
          <w:color w:val="000000" w:themeColor="text1"/>
          <w:sz w:val="28"/>
          <w:szCs w:val="28"/>
          <w:vertAlign w:val="subscript"/>
          <w14:textFill>
            <w14:solidFill>
              <w14:schemeClr w14:val="tx1"/>
            </w14:solidFill>
          </w14:textFill>
        </w:rPr>
        <w:t>n－2</w:t>
      </w:r>
      <w:r>
        <w:rPr>
          <w:rFonts w:hint="eastAsia" w:ascii="仿宋_GB2312" w:eastAsia="仿宋_GB2312"/>
          <w:color w:val="000000" w:themeColor="text1"/>
          <w:sz w:val="28"/>
          <w:szCs w:val="28"/>
          <w14:textFill>
            <w14:solidFill>
              <w14:schemeClr w14:val="tx1"/>
            </w14:solidFill>
          </w14:textFill>
        </w:rPr>
        <w:t>/100)×(CPI</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/100)＋C</w:t>
      </w:r>
      <w:r>
        <w:rPr>
          <w:rFonts w:ascii="仿宋_GB2312" w:eastAsia="仿宋_GB2312"/>
          <w:color w:val="000000" w:themeColor="text1"/>
          <w:sz w:val="28"/>
          <w:szCs w:val="28"/>
          <w:vertAlign w:val="subscript"/>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 xml:space="preserve">     </w:t>
      </w:r>
    </w:p>
    <w:p w14:paraId="45BD7ECF">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调价系数K依据以下方式确定：</w:t>
      </w:r>
    </w:p>
    <w:p w14:paraId="11B6B3F4">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若年度服务费在前一调价年份已进行过调整，则 K= k； </w:t>
      </w:r>
    </w:p>
    <w:p w14:paraId="29224892">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若在前一调价年份未进行过调整，则K= k×k</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w:t>
      </w:r>
    </w:p>
    <w:p w14:paraId="2346D3F8">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其中k</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为（这里的n＞3）前一调价年份所计算得出的k值；</w:t>
      </w:r>
    </w:p>
    <w:p w14:paraId="6F3E9D25">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若年度服务费在前两个连续的调价年份均未进行过调整，则K= k×k</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×k</w:t>
      </w:r>
      <w:r>
        <w:rPr>
          <w:rFonts w:hint="eastAsia" w:ascii="仿宋_GB2312" w:eastAsia="仿宋_GB2312"/>
          <w:color w:val="000000" w:themeColor="text1"/>
          <w:sz w:val="28"/>
          <w:szCs w:val="28"/>
          <w:vertAlign w:val="subscript"/>
          <w14:textFill>
            <w14:solidFill>
              <w14:schemeClr w14:val="tx1"/>
            </w14:solidFill>
          </w14:textFill>
        </w:rPr>
        <w:t>n-6</w:t>
      </w:r>
      <w:r>
        <w:rPr>
          <w:rFonts w:hint="eastAsia" w:ascii="仿宋_GB2312" w:eastAsia="仿宋_GB2312"/>
          <w:color w:val="000000" w:themeColor="text1"/>
          <w:sz w:val="28"/>
          <w:szCs w:val="28"/>
          <w14:textFill>
            <w14:solidFill>
              <w14:schemeClr w14:val="tx1"/>
            </w14:solidFill>
          </w14:textFill>
        </w:rPr>
        <w:t>，其中k</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、k</w:t>
      </w:r>
      <w:r>
        <w:rPr>
          <w:rFonts w:hint="eastAsia" w:ascii="仿宋_GB2312" w:eastAsia="仿宋_GB2312"/>
          <w:color w:val="000000" w:themeColor="text1"/>
          <w:sz w:val="28"/>
          <w:szCs w:val="28"/>
          <w:vertAlign w:val="subscript"/>
          <w14:textFill>
            <w14:solidFill>
              <w14:schemeClr w14:val="tx1"/>
            </w14:solidFill>
          </w14:textFill>
        </w:rPr>
        <w:t>n-6</w:t>
      </w:r>
      <w:r>
        <w:rPr>
          <w:rFonts w:hint="eastAsia" w:ascii="仿宋_GB2312" w:eastAsia="仿宋_GB2312"/>
          <w:color w:val="000000" w:themeColor="text1"/>
          <w:sz w:val="28"/>
          <w:szCs w:val="28"/>
          <w14:textFill>
            <w14:solidFill>
              <w14:schemeClr w14:val="tx1"/>
            </w14:solidFill>
          </w14:textFill>
        </w:rPr>
        <w:t>（这里的n＞6）分别为前两个调价年份所计算得出的k值；依次类推。此外，以上公式中：</w:t>
      </w:r>
    </w:p>
    <w:p w14:paraId="501F7C4B">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是正常运行条件下电力成本占年度运维成本的比例；</w:t>
      </w:r>
    </w:p>
    <w:p w14:paraId="62F019CB">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是正常运行条件下人工成本占年度运维成本的比例；</w:t>
      </w:r>
    </w:p>
    <w:p w14:paraId="301A64B4">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是正常运行条件下扣除电力成本、人工成本、折旧摊销、所得税、财务费用外的，会因通胀或通缩带来变动的运营成本的比例，包括：维护费、管理费、修理费、重置更新成本、污泥运输及处置费、化验费等；</w:t>
      </w:r>
    </w:p>
    <w:p w14:paraId="7F960CB4">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w:t>
      </w:r>
      <w:r>
        <w:rPr>
          <w:rFonts w:ascii="仿宋_GB2312" w:eastAsia="仿宋_GB2312"/>
          <w:color w:val="000000" w:themeColor="text1"/>
          <w:sz w:val="28"/>
          <w:szCs w:val="28"/>
          <w:vertAlign w:val="subscript"/>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为其他所有对调价系数不产生影响的成本占总成本的比例。其中，</w:t>
      </w:r>
    </w:p>
    <w:p w14:paraId="3A7241E3">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+C</w:t>
      </w:r>
      <w:r>
        <w:rPr>
          <w:rFonts w:hint="eastAsia" w:ascii="仿宋_GB2312" w:eastAsia="仿宋_GB2312"/>
          <w:color w:val="000000" w:themeColor="text1"/>
          <w:sz w:val="28"/>
          <w:szCs w:val="28"/>
          <w:vertAlign w:val="subscript"/>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=1</w:t>
      </w:r>
    </w:p>
    <w:p w14:paraId="4C567BE7">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对于C</w:t>
      </w:r>
      <w:r>
        <w:rPr>
          <w:rFonts w:hint="eastAsia" w:ascii="仿宋_GB2312" w:eastAsia="仿宋_GB2312"/>
          <w:color w:val="000000" w:themeColor="text1"/>
          <w:sz w:val="28"/>
          <w:szCs w:val="28"/>
          <w:vertAlign w:val="subscript"/>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-C</w:t>
      </w:r>
      <w:r>
        <w:rPr>
          <w:rFonts w:ascii="仿宋_GB2312" w:eastAsia="仿宋_GB2312"/>
          <w:color w:val="000000" w:themeColor="text1"/>
          <w:sz w:val="28"/>
          <w:szCs w:val="28"/>
          <w:vertAlign w:val="subscript"/>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的取值，第一次以政府相关部门审核的数据确定，此后每次调价，双方将根据项目的运营情况，双方协商予以调整，以反映特许经营单位在运营期内各项经营成本构成比例的变化情况。</w:t>
      </w:r>
    </w:p>
    <w:p w14:paraId="2CDC2FFA">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E</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：第n年时，特许经营单位所付电费每度电的平均电价；</w:t>
      </w:r>
    </w:p>
    <w:p w14:paraId="1629423F">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E</w:t>
      </w:r>
      <w:r>
        <w:rPr>
          <w:rFonts w:hint="eastAsia" w:ascii="仿宋_GB2312" w:eastAsia="仿宋_GB2312"/>
          <w:color w:val="000000" w:themeColor="text1"/>
          <w:sz w:val="28"/>
          <w:szCs w:val="28"/>
          <w:vertAlign w:val="subscript"/>
          <w14:textFill>
            <w14:solidFill>
              <w14:schemeClr w14:val="tx1"/>
            </w14:solidFill>
          </w14:textFill>
        </w:rPr>
        <w:t>n</w:t>
      </w:r>
      <w:r>
        <w:rPr>
          <w:rFonts w:ascii="仿宋_GB2312" w:eastAsia="仿宋_GB2312"/>
          <w:color w:val="000000" w:themeColor="text1"/>
          <w:sz w:val="28"/>
          <w:szCs w:val="28"/>
          <w:vertAlign w:val="subscript"/>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：第n</w:t>
      </w: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年时，特许经营单位所付电费每度电的平均电价；</w:t>
      </w:r>
    </w:p>
    <w:p w14:paraId="47DF15BF">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L</w:t>
      </w:r>
      <w:r>
        <w:rPr>
          <w:rFonts w:hint="eastAsia" w:ascii="仿宋_GB2312" w:eastAsia="仿宋_GB2312"/>
          <w:color w:val="000000" w:themeColor="text1"/>
          <w:sz w:val="28"/>
          <w:szCs w:val="28"/>
          <w:vertAlign w:val="subscript"/>
          <w14:textFill>
            <w14:solidFill>
              <w14:schemeClr w14:val="tx1"/>
            </w14:solidFill>
          </w14:textFill>
        </w:rPr>
        <w:t>n</w:t>
      </w:r>
      <w:r>
        <w:rPr>
          <w:rFonts w:hint="eastAsia" w:ascii="仿宋_GB2312" w:eastAsia="仿宋_GB2312"/>
          <w:color w:val="000000" w:themeColor="text1"/>
          <w:sz w:val="28"/>
          <w:szCs w:val="28"/>
          <w14:textFill>
            <w14:solidFill>
              <w14:schemeClr w14:val="tx1"/>
            </w14:solidFill>
          </w14:textFill>
        </w:rPr>
        <w:t xml:space="preserve">：第n年时，潮州市统计局公布的前一年度全市城镇非私营单位，“水利、环境和公共设施管理业”在岗职工平均工资； </w:t>
      </w:r>
    </w:p>
    <w:p w14:paraId="54521654">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L</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：第n</w:t>
      </w: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年时，潮州市统计局公布的前一年度全市城镇非私营单位，“水利、环境和公共设施管理业”在岗职工平均工资；</w:t>
      </w:r>
    </w:p>
    <w:p w14:paraId="6C2F7B77">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CPI</w:t>
      </w:r>
      <w:r>
        <w:rPr>
          <w:rFonts w:hint="eastAsia" w:ascii="仿宋_GB2312" w:eastAsia="仿宋_GB2312"/>
          <w:color w:val="000000" w:themeColor="text1"/>
          <w:sz w:val="28"/>
          <w:szCs w:val="28"/>
          <w:vertAlign w:val="subscript"/>
          <w14:textFill>
            <w14:solidFill>
              <w14:schemeClr w14:val="tx1"/>
            </w14:solidFill>
          </w14:textFill>
        </w:rPr>
        <w:t>n－1</w:t>
      </w:r>
      <w:r>
        <w:rPr>
          <w:rFonts w:hint="eastAsia" w:ascii="仿宋_GB2312" w:eastAsia="仿宋_GB2312"/>
          <w:color w:val="000000" w:themeColor="text1"/>
          <w:sz w:val="28"/>
          <w:szCs w:val="28"/>
          <w14:textFill>
            <w14:solidFill>
              <w14:schemeClr w14:val="tx1"/>
            </w14:solidFill>
          </w14:textFill>
        </w:rPr>
        <w:t>：第n年时，由潮州市统计局公布的《国民经济和社会发展统计公报》中公布的该调价年份前一年全省居民消费价格指数；</w:t>
      </w:r>
    </w:p>
    <w:p w14:paraId="74A07418">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CPI</w:t>
      </w:r>
      <w:r>
        <w:rPr>
          <w:rFonts w:hint="eastAsia" w:ascii="仿宋_GB2312" w:eastAsia="仿宋_GB2312"/>
          <w:color w:val="000000" w:themeColor="text1"/>
          <w:sz w:val="28"/>
          <w:szCs w:val="28"/>
          <w:vertAlign w:val="subscript"/>
          <w14:textFill>
            <w14:solidFill>
              <w14:schemeClr w14:val="tx1"/>
            </w14:solidFill>
          </w14:textFill>
        </w:rPr>
        <w:t>n－2</w:t>
      </w:r>
      <w:r>
        <w:rPr>
          <w:rFonts w:hint="eastAsia" w:ascii="仿宋_GB2312" w:eastAsia="仿宋_GB2312"/>
          <w:color w:val="000000" w:themeColor="text1"/>
          <w:sz w:val="28"/>
          <w:szCs w:val="28"/>
          <w14:textFill>
            <w14:solidFill>
              <w14:schemeClr w14:val="tx1"/>
            </w14:solidFill>
          </w14:textFill>
        </w:rPr>
        <w:t>：第n-1年时，由潮州市统计局公布的《国民经济和社会发展统计公报》中公布的该调价年份前一年全省居民消费价格指数；</w:t>
      </w:r>
    </w:p>
    <w:p w14:paraId="4A92C444">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CPI</w:t>
      </w:r>
      <w:r>
        <w:rPr>
          <w:rFonts w:hint="eastAsia" w:ascii="仿宋_GB2312" w:eastAsia="仿宋_GB2312"/>
          <w:color w:val="000000" w:themeColor="text1"/>
          <w:sz w:val="28"/>
          <w:szCs w:val="28"/>
          <w:vertAlign w:val="subscript"/>
          <w14:textFill>
            <w14:solidFill>
              <w14:schemeClr w14:val="tx1"/>
            </w14:solidFill>
          </w14:textFill>
        </w:rPr>
        <w:t>n－3</w:t>
      </w:r>
      <w:r>
        <w:rPr>
          <w:rFonts w:hint="eastAsia" w:ascii="仿宋_GB2312" w:eastAsia="仿宋_GB2312"/>
          <w:color w:val="000000" w:themeColor="text1"/>
          <w:sz w:val="28"/>
          <w:szCs w:val="28"/>
          <w14:textFill>
            <w14:solidFill>
              <w14:schemeClr w14:val="tx1"/>
            </w14:solidFill>
          </w14:textFill>
        </w:rPr>
        <w:t>：第n-2年时，由潮州市统计局公布的《国民经济和社会发展统计公报》中公布的该调价年份前一年全省居民消费价格指数。</w:t>
      </w:r>
    </w:p>
    <w:p w14:paraId="7F908753">
      <w:pPr>
        <w:pStyle w:val="6"/>
      </w:pPr>
      <w:r>
        <w:rPr>
          <w:rFonts w:hint="eastAsia"/>
        </w:rPr>
        <w:t>（3）付费频率与方式</w:t>
      </w:r>
    </w:p>
    <w:p w14:paraId="66A469F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服务费每3个月支付一次，每次应付金额为（当年服务费/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当期根据绩效考核扣减金额）</w:t>
      </w:r>
      <w:r>
        <w:rPr>
          <w:rFonts w:ascii="Times New Roman Regular" w:hAnsi="Times New Roman Regular" w:eastAsia="仿宋_GB2312" w:cs="Times New Roman Regular"/>
          <w:color w:val="000000" w:themeColor="text1"/>
          <w:sz w:val="28"/>
          <w:szCs w:val="28"/>
          <w14:textFill>
            <w14:solidFill>
              <w14:schemeClr w14:val="tx1"/>
            </w14:solidFill>
          </w14:textFill>
        </w:rPr>
        <w:t>;</w:t>
      </w:r>
    </w:p>
    <w:p w14:paraId="4C8241C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首次支付服务费应在特许经营协议签订之日的满3个月后的1个月内。</w:t>
      </w:r>
    </w:p>
    <w:p w14:paraId="1AB590E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743FBA25">
      <w:pPr>
        <w:pStyle w:val="5"/>
      </w:pPr>
      <w:r>
        <w:t>2、各方权利与义务</w:t>
      </w:r>
      <w:bookmarkEnd w:id="140"/>
    </w:p>
    <w:p w14:paraId="65483879">
      <w:pPr>
        <w:pStyle w:val="17"/>
        <w:widowControl/>
        <w:shd w:val="clear" w:color="auto" w:fill="FFFFFF"/>
        <w:spacing w:beforeAutospacing="0" w:afterAutospacing="0"/>
        <w:ind w:firstLine="560" w:firstLineChars="200"/>
        <w:jc w:val="both"/>
        <w:rPr>
          <w:rFonts w:ascii="仿宋_GB2312" w:hAnsi="Times New Roman Regular" w:eastAsia="仿宋_GB2312" w:cs="Times New Roman Regular"/>
          <w:color w:val="000000" w:themeColor="text1"/>
          <w:sz w:val="28"/>
          <w:szCs w:val="28"/>
          <w14:textFill>
            <w14:solidFill>
              <w14:schemeClr w14:val="tx1"/>
            </w14:solidFill>
          </w14:textFill>
        </w:rPr>
      </w:pPr>
      <w:bookmarkStart w:id="141" w:name="_Toc20470"/>
      <w:r>
        <w:rPr>
          <w:rFonts w:hint="eastAsia" w:ascii="仿宋_GB2312" w:hAnsi="Times New Roman Regular" w:eastAsia="仿宋_GB2312" w:cs="Times New Roman Regular"/>
          <w:color w:val="000000" w:themeColor="text1"/>
          <w:sz w:val="28"/>
          <w:szCs w:val="28"/>
          <w14:textFill>
            <w14:solidFill>
              <w14:schemeClr w14:val="tx1"/>
            </w14:solidFill>
          </w14:textFill>
        </w:rPr>
        <w:t>权利义务边界是本项目在实际操作过程中政府、项目公司和社会资本方的权责细分，是建立公平、有效的利益和风险分担机制并保证本项目有效实施的关键。</w:t>
      </w:r>
    </w:p>
    <w:p w14:paraId="4BD52270">
      <w:pPr>
        <w:pStyle w:val="6"/>
      </w:pPr>
      <w:r>
        <w:rPr>
          <w:rFonts w:hint="eastAsia"/>
        </w:rPr>
        <w:t>（1）</w:t>
      </w:r>
      <w:r>
        <w:t>政府方主要权利义务</w:t>
      </w:r>
      <w:bookmarkEnd w:id="141"/>
    </w:p>
    <w:p w14:paraId="2AE75042">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1)</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实施机构或其指定的第三方有权进入项目设施，以监督检查项目设施的运营和维护。</w:t>
      </w:r>
    </w:p>
    <w:p w14:paraId="06FEADD3">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2)</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依据特许经营协议约定，自行或指定其他第三方对项目的流量计量、读数、水质、污泥、大气污染物、噪声检测等进行抽查、监督。</w:t>
      </w:r>
    </w:p>
    <w:p w14:paraId="735F33D1">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3)</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对经营过程实施监管，包括对服务质量、经营计划、项目经营状况和安全防范措施的监管，对项目运营情况的评估，以及协助相关部门核算和监控项目公司的企业成本等。</w:t>
      </w:r>
    </w:p>
    <w:p w14:paraId="2653D3A9">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4)</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本着尊重社会公众的知情权，鼓励公众参与监督的原则，有权及时将对污水处理服务质量的检查、监测、评估结果和整改情况以适当的方式向社会公布，并受理公众对项目公司的投诉及其核实处理。</w:t>
      </w:r>
    </w:p>
    <w:p w14:paraId="78EBC23F">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5)</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有权要求特许经营单位定期提供相关运营资料，包括但不限于污水处理的检测分析报告、项目设施状况及其定期检修报告、财务报表、重大事故报告等或实施机构认为需要提供的其他资料。</w:t>
      </w:r>
    </w:p>
    <w:p w14:paraId="0787F283">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6)</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对特许经营单位提出的有关申请、建议等书面通知，需要实施机构回复或批准的，实施机构应在收到项目公司相应通知后的合理时间内给予回复。</w:t>
      </w:r>
    </w:p>
    <w:p w14:paraId="056F3661">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7)</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如出于对外部污水管网建设、运营或维护的需要，必须减少污水项目进水或暂时关闭污水项目，实施机构应在合理时间内通知。</w:t>
      </w:r>
    </w:p>
    <w:p w14:paraId="1685CFDA">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8)</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依据特许经营协议约定，向特许经营单位追究违约责任并收取违约金。</w:t>
      </w:r>
    </w:p>
    <w:p w14:paraId="2683A2E8">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9)</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依据特许经营协议约定，根据审核结果，经财政部门确认后，向特许经营单位支付服务费。</w:t>
      </w:r>
    </w:p>
    <w:p w14:paraId="230D676A">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10)</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如果延期向特许经营单位付款的，承担逾期付款责任。</w:t>
      </w:r>
    </w:p>
    <w:p w14:paraId="54450BC6">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11)</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实施机构有权向特许经营单位询问污泥处置情况及相关的内容，并有权阐述对具体问题的意见和建议。</w:t>
      </w:r>
    </w:p>
    <w:p w14:paraId="77E18298">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12)</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当实施机构认定特许经营单位不按特许经营协议履行其职责，或与第三方串通给实施机构造成损失的，实施机构有权终止协议并要求特许经营单位承担相应的赔偿责任。</w:t>
      </w:r>
    </w:p>
    <w:p w14:paraId="520BF13E">
      <w:pPr>
        <w:pStyle w:val="17"/>
        <w:widowControl/>
        <w:shd w:val="clear" w:color="auto" w:fill="FFFFFF"/>
        <w:spacing w:beforeAutospacing="0" w:afterAutospacing="0"/>
        <w:ind w:firstLine="561"/>
        <w:jc w:val="both"/>
        <w:rPr>
          <w:rFonts w:ascii="仿宋_GB2312" w:hAnsi="Times New Roman Regular" w:eastAsia="仿宋_GB2312" w:cs="Times New Roman Regular"/>
          <w:color w:val="000000" w:themeColor="text1"/>
          <w:sz w:val="28"/>
          <w:szCs w:val="28"/>
          <w14:textFill>
            <w14:solidFill>
              <w14:schemeClr w14:val="tx1"/>
            </w14:solidFill>
          </w14:textFill>
        </w:rPr>
      </w:pPr>
      <w:r>
        <w:rPr>
          <w:rFonts w:hint="eastAsia" w:ascii="仿宋_GB2312" w:hAnsi="Times New Roman Regular" w:eastAsia="仿宋_GB2312" w:cs="Times New Roman Regular"/>
          <w:color w:val="000000" w:themeColor="text1"/>
          <w:sz w:val="28"/>
          <w:szCs w:val="28"/>
          <w14:textFill>
            <w14:solidFill>
              <w14:schemeClr w14:val="tx1"/>
            </w14:solidFill>
          </w14:textFill>
        </w:rPr>
        <w:t>13)</w:t>
      </w:r>
      <w:r>
        <w:rPr>
          <w:rFonts w:hint="eastAsia" w:ascii="仿宋_GB2312" w:hAnsi="Times New Roman Regular" w:eastAsia="仿宋_GB2312" w:cs="Times New Roman Regular"/>
          <w:color w:val="000000" w:themeColor="text1"/>
          <w:sz w:val="28"/>
          <w:szCs w:val="28"/>
          <w14:textFill>
            <w14:solidFill>
              <w14:schemeClr w14:val="tx1"/>
            </w14:solidFill>
          </w14:textFill>
        </w:rPr>
        <w:tab/>
      </w:r>
      <w:r>
        <w:rPr>
          <w:rFonts w:hint="eastAsia" w:ascii="仿宋_GB2312" w:hAnsi="Times New Roman Regular" w:eastAsia="仿宋_GB2312" w:cs="Times New Roman Regular"/>
          <w:color w:val="000000" w:themeColor="text1"/>
          <w:sz w:val="28"/>
          <w:szCs w:val="28"/>
          <w14:textFill>
            <w14:solidFill>
              <w14:schemeClr w14:val="tx1"/>
            </w14:solidFill>
          </w14:textFill>
        </w:rPr>
        <w:t>如在运营服务期内发生任何相关环境质量、安全事故或者其他由于特许经营单位的原因导致的事故时，实施机构有权扣除服务费，用于该类事故的赔偿、修复或者处罚。</w:t>
      </w:r>
    </w:p>
    <w:p w14:paraId="467AF6C0">
      <w:pPr>
        <w:pStyle w:val="6"/>
      </w:pPr>
      <w:bookmarkStart w:id="142" w:name="_Toc9335"/>
      <w:r>
        <w:t>（2）特许经营单位主要权利义务</w:t>
      </w:r>
      <w:bookmarkEnd w:id="142"/>
    </w:p>
    <w:p w14:paraId="74CC98DD">
      <w:pPr>
        <w:pStyle w:val="17"/>
        <w:widowControl/>
        <w:shd w:val="clear" w:color="auto" w:fill="FFFFFF"/>
        <w:spacing w:beforeAutospacing="0" w:afterAutospacing="0"/>
        <w:ind w:firstLine="561"/>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43" w:name="_Toc21222"/>
      <w:bookmarkStart w:id="144" w:name="_Toc6480"/>
      <w:bookmarkStart w:id="145" w:name="_Toc32104"/>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1)</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ab/>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依照特许经营协议约定获取服务费。</w:t>
      </w:r>
    </w:p>
    <w:p w14:paraId="68114733">
      <w:pPr>
        <w:pStyle w:val="17"/>
        <w:widowControl/>
        <w:shd w:val="clear" w:color="auto" w:fill="FFFFFF"/>
        <w:spacing w:beforeAutospacing="0" w:afterAutospacing="0"/>
        <w:ind w:firstLine="561"/>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2)</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ab/>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单位应在运营期内每个经营日按中国国家、广东省、潮州市现行的有关规范、标准和要求运营项目设施，保证出水、污泥、大气污染物、噪声达到相关标准，并承担相应的责任和义务。除特许经营协议另有约定外，项目公司不得以任何理由暂停服务。</w:t>
      </w:r>
    </w:p>
    <w:p w14:paraId="79E56589">
      <w:pPr>
        <w:pStyle w:val="17"/>
        <w:widowControl/>
        <w:shd w:val="clear" w:color="auto" w:fill="FFFFFF"/>
        <w:spacing w:beforeAutospacing="0" w:afterAutospacing="0"/>
        <w:ind w:firstLine="561"/>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3)</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ab/>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在运营期内，特许经营单位应将相关设施的全部处理能力完全提供给实施机构，并且未经实施机构事先同意不得为任何第三方处理污水，也不得将污染物总量指标转让给第三方。</w:t>
      </w:r>
    </w:p>
    <w:p w14:paraId="70753C31">
      <w:pPr>
        <w:pStyle w:val="17"/>
        <w:widowControl/>
        <w:shd w:val="clear" w:color="auto" w:fill="FFFFFF"/>
        <w:spacing w:beforeAutospacing="0" w:afterAutospacing="0"/>
        <w:ind w:firstLine="561"/>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ab/>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项目公司应按照中国法律、行业标准、有关规范运营，从业人员应按中国法律的有关规定取得相应的资格和证书。</w:t>
      </w:r>
    </w:p>
    <w:p w14:paraId="5C9314B7">
      <w:pPr>
        <w:pStyle w:val="17"/>
        <w:widowControl/>
        <w:shd w:val="clear" w:color="auto" w:fill="FFFFFF"/>
        <w:spacing w:beforeAutospacing="0" w:afterAutospacing="0"/>
        <w:ind w:firstLine="561"/>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5)</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ab/>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污水、污泥处理过程中所添加药剂种类和成分符合相关标准。</w:t>
      </w:r>
    </w:p>
    <w:p w14:paraId="118EA67F">
      <w:pPr>
        <w:pStyle w:val="17"/>
        <w:widowControl/>
        <w:shd w:val="clear" w:color="auto" w:fill="FFFFFF"/>
        <w:spacing w:beforeAutospacing="0" w:afterAutospacing="0"/>
        <w:ind w:firstLine="561"/>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6)</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ab/>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特许经营单位应在运营期内，应遵照中国法律的有关规定，做好环境保护的工作，确保项目设施始终处于良好营运状态。</w:t>
      </w:r>
    </w:p>
    <w:p w14:paraId="28960CD6">
      <w:pPr>
        <w:pStyle w:val="17"/>
        <w:widowControl/>
        <w:shd w:val="clear" w:color="auto" w:fill="FFFFFF"/>
        <w:spacing w:beforeAutospacing="0" w:afterAutospacing="0"/>
        <w:ind w:firstLine="561"/>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7)</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ab/>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应对其提供的所有资料的真实性和合法性负全部责任。</w:t>
      </w:r>
    </w:p>
    <w:p w14:paraId="1F773826">
      <w:pPr>
        <w:pStyle w:val="17"/>
        <w:widowControl/>
        <w:shd w:val="clear" w:color="auto" w:fill="FFFFFF"/>
        <w:spacing w:beforeAutospacing="0" w:afterAutospacing="0"/>
        <w:ind w:firstLine="561"/>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8)</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ab/>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应按照原设计以及特许经营协议要求维修或重置项目设施，工程建设质量应符合国家及地方的相关法规以及其它规范性文件要求的合格标准。</w:t>
      </w:r>
    </w:p>
    <w:p w14:paraId="437C9DDB">
      <w:pPr>
        <w:pStyle w:val="17"/>
        <w:widowControl/>
        <w:shd w:val="clear" w:color="auto" w:fill="FFFFFF"/>
        <w:spacing w:beforeAutospacing="0" w:afterAutospacing="0"/>
        <w:ind w:firstLine="561"/>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9)</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ab/>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项目合作期满后，特许经营单位应将项目范围内的全部设施的使用权、经营权和收益权无偿移交实施机构或其指定的其他机构。</w:t>
      </w:r>
    </w:p>
    <w:p w14:paraId="0AE72604">
      <w:pPr>
        <w:pStyle w:val="17"/>
        <w:widowControl/>
        <w:shd w:val="clear" w:color="auto" w:fill="FFFFFF"/>
        <w:spacing w:beforeAutospacing="0" w:afterAutospacing="0"/>
        <w:ind w:firstLine="561"/>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394490A4">
      <w:pPr>
        <w:pStyle w:val="4"/>
      </w:pPr>
      <w:bookmarkStart w:id="146" w:name="_Toc188530564"/>
      <w:r>
        <w:rPr>
          <w:rFonts w:hint="eastAsia"/>
        </w:rPr>
        <w:t>（五）</w:t>
      </w:r>
      <w:r>
        <w:t>特许经营者选择</w:t>
      </w:r>
      <w:bookmarkEnd w:id="146"/>
    </w:p>
    <w:p w14:paraId="166DAF55">
      <w:pPr>
        <w:pStyle w:val="5"/>
      </w:pPr>
      <w:bookmarkStart w:id="147" w:name="_Toc31439"/>
      <w:r>
        <w:rPr>
          <w:rFonts w:hint="eastAsia"/>
        </w:rPr>
        <w:t>1、</w:t>
      </w:r>
      <w:r>
        <w:t>特许经营者基本条件</w:t>
      </w:r>
      <w:bookmarkEnd w:id="147"/>
      <w:r>
        <w:t xml:space="preserve">  </w:t>
      </w:r>
    </w:p>
    <w:p w14:paraId="08EC1BD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48" w:name="_Toc27985"/>
      <w:r>
        <w:rPr>
          <w:rFonts w:ascii="Times New Roman Regular" w:hAnsi="Times New Roman Regular" w:eastAsia="仿宋_GB2312" w:cs="Times New Roman Regular"/>
          <w:color w:val="000000" w:themeColor="text1"/>
          <w:sz w:val="28"/>
          <w:szCs w:val="28"/>
          <w14:textFill>
            <w14:solidFill>
              <w14:schemeClr w14:val="tx1"/>
            </w14:solidFill>
          </w14:textFill>
        </w:rPr>
        <w:t>申请人必须满足《中华人民共和国政府采购法》第二十二条之规定，供应商参加政府采购活动应当具备下列条件：</w:t>
      </w:r>
      <w:bookmarkEnd w:id="148"/>
    </w:p>
    <w:p w14:paraId="64F5817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49" w:name="_Toc8346"/>
      <w:r>
        <w:rPr>
          <w:rFonts w:ascii="Times New Roman Regular" w:hAnsi="Times New Roman Regular" w:eastAsia="仿宋_GB2312" w:cs="Times New Roman Regular"/>
          <w:color w:val="000000" w:themeColor="text1"/>
          <w:sz w:val="28"/>
          <w:szCs w:val="28"/>
          <w14:textFill>
            <w14:solidFill>
              <w14:schemeClr w14:val="tx1"/>
            </w14:solidFill>
          </w14:textFill>
        </w:rPr>
        <w:t>（1）具有独立承担民事责任的能力；</w:t>
      </w:r>
      <w:bookmarkEnd w:id="149"/>
    </w:p>
    <w:p w14:paraId="3973A09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50" w:name="_Toc17795"/>
      <w:r>
        <w:rPr>
          <w:rFonts w:ascii="Times New Roman Regular" w:hAnsi="Times New Roman Regular" w:eastAsia="仿宋_GB2312" w:cs="Times New Roman Regular"/>
          <w:color w:val="000000" w:themeColor="text1"/>
          <w:sz w:val="28"/>
          <w:szCs w:val="28"/>
          <w14:textFill>
            <w14:solidFill>
              <w14:schemeClr w14:val="tx1"/>
            </w14:solidFill>
          </w14:textFill>
        </w:rPr>
        <w:t>（2）具有良好的商业信誉和健全的财务会计制度；</w:t>
      </w:r>
      <w:bookmarkEnd w:id="150"/>
    </w:p>
    <w:p w14:paraId="23E3D6A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51" w:name="_Toc15592"/>
      <w:r>
        <w:rPr>
          <w:rFonts w:ascii="Times New Roman Regular" w:hAnsi="Times New Roman Regular" w:eastAsia="仿宋_GB2312" w:cs="Times New Roman Regular"/>
          <w:color w:val="000000" w:themeColor="text1"/>
          <w:sz w:val="28"/>
          <w:szCs w:val="28"/>
          <w14:textFill>
            <w14:solidFill>
              <w14:schemeClr w14:val="tx1"/>
            </w14:solidFill>
          </w14:textFill>
        </w:rPr>
        <w:t>（3）具有履行合同所必需的设备和专业技术能力；</w:t>
      </w:r>
      <w:bookmarkEnd w:id="151"/>
    </w:p>
    <w:p w14:paraId="76AFC2A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52" w:name="_Toc32012"/>
      <w:r>
        <w:rPr>
          <w:rFonts w:ascii="Times New Roman Regular" w:hAnsi="Times New Roman Regular" w:eastAsia="仿宋_GB2312" w:cs="Times New Roman Regular"/>
          <w:color w:val="000000" w:themeColor="text1"/>
          <w:sz w:val="28"/>
          <w:szCs w:val="28"/>
          <w14:textFill>
            <w14:solidFill>
              <w14:schemeClr w14:val="tx1"/>
            </w14:solidFill>
          </w14:textFill>
        </w:rPr>
        <w:t>（4）有依法缴纳税收和社会保障资金的良好记录；</w:t>
      </w:r>
      <w:bookmarkEnd w:id="152"/>
    </w:p>
    <w:p w14:paraId="4FCB5AA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53" w:name="_Toc32659"/>
      <w:r>
        <w:rPr>
          <w:rFonts w:ascii="Times New Roman Regular" w:hAnsi="Times New Roman Regular" w:eastAsia="仿宋_GB2312" w:cs="Times New Roman Regular"/>
          <w:color w:val="000000" w:themeColor="text1"/>
          <w:sz w:val="28"/>
          <w:szCs w:val="28"/>
          <w14:textFill>
            <w14:solidFill>
              <w14:schemeClr w14:val="tx1"/>
            </w14:solidFill>
          </w14:textFill>
        </w:rPr>
        <w:t>（5）参加政府采购活动前三年内，在经营活动中没有重大违法记录；</w:t>
      </w:r>
      <w:bookmarkEnd w:id="153"/>
    </w:p>
    <w:p w14:paraId="4761BEB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54" w:name="_Toc19801"/>
      <w:r>
        <w:rPr>
          <w:rFonts w:ascii="Times New Roman Regular" w:hAnsi="Times New Roman Regular" w:eastAsia="仿宋_GB2312" w:cs="Times New Roman Regular"/>
          <w:color w:val="000000" w:themeColor="text1"/>
          <w:sz w:val="28"/>
          <w:szCs w:val="28"/>
          <w14:textFill>
            <w14:solidFill>
              <w14:schemeClr w14:val="tx1"/>
            </w14:solidFill>
          </w14:textFill>
        </w:rPr>
        <w:t>（6）具有相应投资能力，没有处于被责令停业、投标资格取消等状态。</w:t>
      </w:r>
      <w:bookmarkEnd w:id="154"/>
    </w:p>
    <w:p w14:paraId="0C25744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0BDE4A9A">
      <w:pPr>
        <w:pStyle w:val="5"/>
      </w:pPr>
      <w:bookmarkStart w:id="155" w:name="_Toc18792"/>
      <w:r>
        <w:t>2</w:t>
      </w:r>
      <w:r>
        <w:rPr>
          <w:rFonts w:hint="eastAsia"/>
        </w:rPr>
        <w:t>、</w:t>
      </w:r>
      <w:r>
        <w:t>特许经营者选择方式</w:t>
      </w:r>
      <w:bookmarkEnd w:id="155"/>
    </w:p>
    <w:p w14:paraId="69E09A6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56" w:name="_Toc13514"/>
      <w:r>
        <w:rPr>
          <w:rFonts w:ascii="Times New Roman Regular" w:hAnsi="Times New Roman Regular" w:eastAsia="仿宋_GB2312" w:cs="Times New Roman Regular"/>
          <w:color w:val="000000" w:themeColor="text1"/>
          <w:sz w:val="28"/>
          <w:szCs w:val="28"/>
          <w14:textFill>
            <w14:solidFill>
              <w14:schemeClr w14:val="tx1"/>
            </w14:solidFill>
          </w14:textFill>
        </w:rPr>
        <w:t>结合《市政公用事业特许经营管理办法》《基础设施和公用事业特许经营办理办法》《国务院办公厅转发国家发展改革委、财政部&lt;关于规范实施政府和社会资本合作新机制的指导意见&gt;的通知》（国办函〔2023〕115号）及其他相关法律法规本项目采用公开招标（资格后审）的方式选择潜在投资人。</w:t>
      </w:r>
      <w:bookmarkEnd w:id="156"/>
    </w:p>
    <w:p w14:paraId="2D22B18F">
      <w:pPr>
        <w:pStyle w:val="5"/>
      </w:pPr>
      <w:bookmarkStart w:id="157" w:name="_Toc25830"/>
      <w:r>
        <w:rPr>
          <w:rFonts w:hint="eastAsia"/>
        </w:rPr>
        <w:t>3、</w:t>
      </w:r>
      <w:r>
        <w:t>特许经营者选择</w:t>
      </w:r>
      <w:bookmarkEnd w:id="157"/>
      <w:r>
        <w:t>因素</w:t>
      </w:r>
    </w:p>
    <w:p w14:paraId="27028D13">
      <w:pPr>
        <w:pStyle w:val="6"/>
      </w:pPr>
      <w:bookmarkStart w:id="158" w:name="_Toc2812"/>
      <w:r>
        <w:t>（1）资本实力（暂定）</w:t>
      </w:r>
      <w:bookmarkEnd w:id="158"/>
    </w:p>
    <w:p w14:paraId="27EAC86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59" w:name="_Toc3561"/>
      <w:r>
        <w:rPr>
          <w:rFonts w:ascii="Times New Roman Regular" w:hAnsi="Times New Roman Regular" w:eastAsia="仿宋_GB2312" w:cs="Times New Roman Regular"/>
          <w:color w:val="000000" w:themeColor="text1"/>
          <w:sz w:val="28"/>
          <w:szCs w:val="28"/>
          <w14:textFill>
            <w14:solidFill>
              <w14:schemeClr w14:val="tx1"/>
            </w14:solidFill>
          </w14:textFill>
        </w:rPr>
        <w:t>①净资产：</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投标人</w:t>
      </w:r>
      <w:r>
        <w:rPr>
          <w:rFonts w:ascii="Times New Roman Regular" w:hAnsi="Times New Roman Regular" w:eastAsia="仿宋_GB2312" w:cs="Times New Roman Regular"/>
          <w:color w:val="000000" w:themeColor="text1"/>
          <w:sz w:val="28"/>
          <w:szCs w:val="28"/>
          <w14:textFill>
            <w14:solidFill>
              <w14:schemeClr w14:val="tx1"/>
            </w14:solidFill>
          </w14:textFill>
        </w:rPr>
        <w:t>2024年度账面净资产不低于2000万元；</w:t>
      </w:r>
      <w:bookmarkEnd w:id="159"/>
    </w:p>
    <w:p w14:paraId="7515E6B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60" w:name="_Toc7241"/>
      <w:r>
        <w:rPr>
          <w:rFonts w:ascii="Times New Roman Regular" w:hAnsi="Times New Roman Regular" w:eastAsia="仿宋_GB2312" w:cs="Times New Roman Regular"/>
          <w:color w:val="000000" w:themeColor="text1"/>
          <w:sz w:val="28"/>
          <w:szCs w:val="28"/>
          <w14:textFill>
            <w14:solidFill>
              <w14:schemeClr w14:val="tx1"/>
            </w14:solidFill>
          </w14:textFill>
        </w:rPr>
        <w:t>②融资能力</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：拥有超过1亿元的现金，或</w:t>
      </w:r>
      <w:r>
        <w:rPr>
          <w:rFonts w:ascii="Times New Roman Regular" w:hAnsi="Times New Roman Regular" w:eastAsia="仿宋_GB2312" w:cs="Times New Roman Regular"/>
          <w:color w:val="000000" w:themeColor="text1"/>
          <w:sz w:val="28"/>
          <w:szCs w:val="28"/>
          <w14:textFill>
            <w14:solidFill>
              <w14:schemeClr w14:val="tx1"/>
            </w14:solidFill>
          </w14:textFill>
        </w:rPr>
        <w:t>取得银行出具的在有效期内不低于人民币1</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亿</w:t>
      </w:r>
      <w:r>
        <w:rPr>
          <w:rFonts w:ascii="Times New Roman Regular" w:hAnsi="Times New Roman Regular" w:eastAsia="仿宋_GB2312" w:cs="Times New Roman Regular"/>
          <w:color w:val="000000" w:themeColor="text1"/>
          <w:sz w:val="28"/>
          <w:szCs w:val="28"/>
          <w14:textFill>
            <w14:solidFill>
              <w14:schemeClr w14:val="tx1"/>
            </w14:solidFill>
          </w14:textFill>
        </w:rPr>
        <w:t>元的可用授信额度</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或贷款意向书</w:t>
      </w:r>
      <w:r>
        <w:rPr>
          <w:rFonts w:ascii="Times New Roman Regular" w:hAnsi="Times New Roman Regular" w:eastAsia="仿宋_GB2312" w:cs="Times New Roman Regular"/>
          <w:color w:val="000000" w:themeColor="text1"/>
          <w:sz w:val="28"/>
          <w:szCs w:val="28"/>
          <w14:textFill>
            <w14:solidFill>
              <w14:schemeClr w14:val="tx1"/>
            </w14:solidFill>
          </w14:textFill>
        </w:rPr>
        <w:t>。</w:t>
      </w:r>
      <w:bookmarkEnd w:id="160"/>
    </w:p>
    <w:p w14:paraId="6441AEA9">
      <w:pPr>
        <w:pStyle w:val="6"/>
      </w:pPr>
      <w:bookmarkStart w:id="161" w:name="_Toc1958"/>
      <w:r>
        <w:t>（2）业绩要求（暂定）</w:t>
      </w:r>
      <w:bookmarkEnd w:id="161"/>
    </w:p>
    <w:p w14:paraId="46D666A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62" w:name="_Toc11846"/>
      <w:r>
        <w:rPr>
          <w:rFonts w:ascii="Times New Roman Regular" w:hAnsi="Times New Roman Regular" w:eastAsia="仿宋_GB2312" w:cs="Times New Roman Regular"/>
          <w:color w:val="000000" w:themeColor="text1"/>
          <w:sz w:val="28"/>
          <w:szCs w:val="28"/>
          <w14:textFill>
            <w14:solidFill>
              <w14:schemeClr w14:val="tx1"/>
            </w14:solidFill>
          </w14:textFill>
        </w:rPr>
        <w:t>最近5年内</w:t>
      </w:r>
      <w:bookmarkEnd w:id="162"/>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具有至少一项污水处理项目业绩。</w:t>
      </w:r>
    </w:p>
    <w:p w14:paraId="2A2E0085">
      <w:pPr>
        <w:pStyle w:val="6"/>
      </w:pPr>
      <w:bookmarkStart w:id="163" w:name="_Toc15277"/>
      <w:r>
        <w:t>（3）企业合规及信用</w:t>
      </w:r>
      <w:bookmarkEnd w:id="163"/>
    </w:p>
    <w:p w14:paraId="41D6C9F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64" w:name="_Toc7507"/>
      <w:r>
        <w:rPr>
          <w:rFonts w:ascii="Times New Roman Regular" w:hAnsi="Times New Roman Regular" w:eastAsia="微软雅黑" w:cs="Times New Roman Regular"/>
          <w:color w:val="000000" w:themeColor="text1"/>
          <w:sz w:val="28"/>
          <w:szCs w:val="28"/>
          <w14:textFill>
            <w14:solidFill>
              <w14:schemeClr w14:val="tx1"/>
            </w14:solidFill>
          </w14:textFill>
        </w:rPr>
        <w:t>①</w:t>
      </w:r>
      <w:r>
        <w:rPr>
          <w:rFonts w:ascii="Times New Roman Regular" w:hAnsi="Times New Roman Regular" w:eastAsia="仿宋_GB2312" w:cs="Times New Roman Regular"/>
          <w:color w:val="000000" w:themeColor="text1"/>
          <w:sz w:val="28"/>
          <w:szCs w:val="28"/>
          <w14:textFill>
            <w14:solidFill>
              <w14:schemeClr w14:val="tx1"/>
            </w14:solidFill>
          </w14:textFill>
        </w:rPr>
        <w:t>特许经营合作方应为中华人民共和国国内注册成立的独立企业法人（不接受以分支机构为代理人的申请）。</w:t>
      </w:r>
      <w:bookmarkEnd w:id="164"/>
    </w:p>
    <w:p w14:paraId="680E751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65" w:name="_Toc29125"/>
      <w:r>
        <w:rPr>
          <w:rFonts w:ascii="Times New Roman Regular" w:hAnsi="Times New Roman Regular" w:eastAsia="微软雅黑" w:cs="Times New Roman Regular"/>
          <w:color w:val="000000" w:themeColor="text1"/>
          <w:sz w:val="28"/>
          <w:szCs w:val="28"/>
          <w14:textFill>
            <w14:solidFill>
              <w14:schemeClr w14:val="tx1"/>
            </w14:solidFill>
          </w14:textFill>
        </w:rPr>
        <w:t>②</w:t>
      </w:r>
      <w:r>
        <w:rPr>
          <w:rFonts w:ascii="Times New Roman Regular" w:hAnsi="Times New Roman Regular" w:eastAsia="仿宋_GB2312" w:cs="Times New Roman Regular"/>
          <w:color w:val="000000" w:themeColor="text1"/>
          <w:sz w:val="28"/>
          <w:szCs w:val="28"/>
          <w14:textFill>
            <w14:solidFill>
              <w14:schemeClr w14:val="tx1"/>
            </w14:solidFill>
          </w14:textFill>
        </w:rPr>
        <w:t>没有处于责令停业，财产被接管、冻结，破产状况等。</w:t>
      </w:r>
      <w:bookmarkEnd w:id="165"/>
    </w:p>
    <w:p w14:paraId="0DAF29A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66" w:name="_Toc878"/>
      <w:r>
        <w:rPr>
          <w:rFonts w:ascii="Times New Roman Regular" w:hAnsi="Times New Roman Regular" w:eastAsia="微软雅黑" w:cs="Times New Roman Regular"/>
          <w:color w:val="000000" w:themeColor="text1"/>
          <w:sz w:val="28"/>
          <w:szCs w:val="28"/>
          <w14:textFill>
            <w14:solidFill>
              <w14:schemeClr w14:val="tx1"/>
            </w14:solidFill>
          </w14:textFill>
        </w:rPr>
        <w:t>③</w:t>
      </w:r>
      <w:r>
        <w:rPr>
          <w:rFonts w:ascii="Times New Roman Regular" w:hAnsi="Times New Roman Regular" w:eastAsia="仿宋_GB2312" w:cs="Times New Roman Regular"/>
          <w:color w:val="000000" w:themeColor="text1"/>
          <w:sz w:val="28"/>
          <w:szCs w:val="28"/>
          <w14:textFill>
            <w14:solidFill>
              <w14:schemeClr w14:val="tx1"/>
            </w14:solidFill>
          </w14:textFill>
        </w:rPr>
        <w:t>在最近三年内没有骗取中标和严重违约及重大工程质量问题。在本项目公开招标期间未被建设等行政主管部门明令取消、暂停、禁止参与投标且在处罚有效期内。</w:t>
      </w:r>
      <w:bookmarkEnd w:id="166"/>
    </w:p>
    <w:p w14:paraId="13DDE94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67" w:name="_Toc28641"/>
      <w:r>
        <w:rPr>
          <w:rFonts w:ascii="Times New Roman Regular" w:hAnsi="Times New Roman Regular" w:eastAsia="微软雅黑" w:cs="Times New Roman Regular"/>
          <w:color w:val="000000" w:themeColor="text1"/>
          <w:sz w:val="28"/>
          <w:szCs w:val="28"/>
          <w14:textFill>
            <w14:solidFill>
              <w14:schemeClr w14:val="tx1"/>
            </w14:solidFill>
          </w14:textFill>
        </w:rPr>
        <w:t>④</w:t>
      </w:r>
      <w:r>
        <w:rPr>
          <w:rFonts w:ascii="Times New Roman Regular" w:hAnsi="Times New Roman Regular" w:eastAsia="仿宋_GB2312" w:cs="Times New Roman Regular"/>
          <w:color w:val="000000" w:themeColor="text1"/>
          <w:sz w:val="28"/>
          <w:szCs w:val="28"/>
          <w14:textFill>
            <w14:solidFill>
              <w14:schemeClr w14:val="tx1"/>
            </w14:solidFill>
          </w14:textFill>
        </w:rPr>
        <w:t>商业信誉良好，在经济活动中无重大违法违规行为，近三年内财务会计资料无虚假记载、银行和税务信用评价系统或企业信用系统中无不良记录。投标人“信用中国”网站中未被列入失信被执行人和重大税收违法案件当事人名单，未被列入中国政府采购网政府采购严重违法失信行为记录名单中。</w:t>
      </w:r>
      <w:bookmarkEnd w:id="167"/>
    </w:p>
    <w:p w14:paraId="434A003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68" w:name="_Toc6896"/>
      <w:r>
        <w:rPr>
          <w:rFonts w:ascii="Times New Roman Regular" w:hAnsi="Times New Roman Regular" w:eastAsia="微软雅黑" w:cs="Times New Roman Regular"/>
          <w:color w:val="000000" w:themeColor="text1"/>
          <w:sz w:val="28"/>
          <w:szCs w:val="28"/>
          <w14:textFill>
            <w14:solidFill>
              <w14:schemeClr w14:val="tx1"/>
            </w14:solidFill>
          </w14:textFill>
        </w:rPr>
        <w:t>⑤</w:t>
      </w:r>
      <w:r>
        <w:rPr>
          <w:rFonts w:ascii="Times New Roman Regular" w:hAnsi="Times New Roman Regular" w:eastAsia="仿宋_GB2312" w:cs="Times New Roman Regular"/>
          <w:color w:val="000000" w:themeColor="text1"/>
          <w:sz w:val="28"/>
          <w:szCs w:val="28"/>
          <w14:textFill>
            <w14:solidFill>
              <w14:schemeClr w14:val="tx1"/>
            </w14:solidFill>
          </w14:textFill>
        </w:rPr>
        <w:t>参加本次政府采购活动，响应文件提交截止日前三年内，在经营活动中没有重大违法记录；</w:t>
      </w:r>
      <w:bookmarkEnd w:id="168"/>
    </w:p>
    <w:p w14:paraId="08F6E7C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69" w:name="_Toc2685"/>
      <w:r>
        <w:rPr>
          <w:rFonts w:ascii="Times New Roman Regular" w:hAnsi="Times New Roman Regular" w:eastAsia="微软雅黑" w:cs="Times New Roman Regular"/>
          <w:color w:val="000000" w:themeColor="text1"/>
          <w:sz w:val="28"/>
          <w:szCs w:val="28"/>
          <w14:textFill>
            <w14:solidFill>
              <w14:schemeClr w14:val="tx1"/>
            </w14:solidFill>
          </w14:textFill>
        </w:rPr>
        <w:t>⑥</w:t>
      </w:r>
      <w:r>
        <w:rPr>
          <w:rFonts w:ascii="Times New Roman Regular" w:hAnsi="Times New Roman Regular" w:eastAsia="仿宋_GB2312" w:cs="Times New Roman Regular"/>
          <w:color w:val="000000" w:themeColor="text1"/>
          <w:sz w:val="28"/>
          <w:szCs w:val="28"/>
          <w14:textFill>
            <w14:solidFill>
              <w14:schemeClr w14:val="tx1"/>
            </w14:solidFill>
          </w14:textFill>
        </w:rPr>
        <w:t>法律、行政法规规定的其他条件。</w:t>
      </w:r>
      <w:bookmarkEnd w:id="169"/>
    </w:p>
    <w:p w14:paraId="032717DD">
      <w:pPr>
        <w:pStyle w:val="6"/>
      </w:pPr>
      <w:bookmarkStart w:id="170" w:name="_Toc25562"/>
      <w:r>
        <w:t>（4）报价因素</w:t>
      </w:r>
    </w:p>
    <w:p w14:paraId="0DCB26D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标的：</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初始年度服务费（最高限价9</w:t>
      </w:r>
      <w:r>
        <w:rPr>
          <w:rFonts w:ascii="Times New Roman Regular" w:hAnsi="Times New Roman Regular" w:eastAsia="仿宋_GB2312" w:cs="Times New Roman Regular"/>
          <w:color w:val="000000" w:themeColor="text1"/>
          <w:sz w:val="28"/>
          <w:szCs w:val="28"/>
          <w14:textFill>
            <w14:solidFill>
              <w14:schemeClr w14:val="tx1"/>
            </w14:solidFill>
          </w14:textFill>
        </w:rPr>
        <w:t>19</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w:t>
      </w:r>
      <w:r>
        <w:rPr>
          <w:rFonts w:ascii="Times New Roman Regular" w:hAnsi="Times New Roman Regular" w:eastAsia="仿宋_GB2312" w:cs="Times New Roman Regular"/>
          <w:color w:val="000000" w:themeColor="text1"/>
          <w:sz w:val="28"/>
          <w:szCs w:val="28"/>
          <w14:textFill>
            <w14:solidFill>
              <w14:schemeClr w14:val="tx1"/>
            </w14:solidFill>
          </w14:textFill>
        </w:rPr>
        <w:t>。</w:t>
      </w:r>
    </w:p>
    <w:p w14:paraId="16E4D52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未来特许经营合作方应在综合考虑项目所有成本、费用、税费、利润及风险，以及本项目的回报机制及价格调整机制的基础上，并自行报价。</w:t>
      </w:r>
    </w:p>
    <w:p w14:paraId="63D3222C">
      <w:pPr>
        <w:pStyle w:val="6"/>
      </w:pPr>
      <w:r>
        <w:t>（5）对联合体的要求</w:t>
      </w:r>
      <w:bookmarkEnd w:id="170"/>
    </w:p>
    <w:p w14:paraId="35D2D15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71" w:name="_Toc12579"/>
      <w:r>
        <w:rPr>
          <w:rFonts w:ascii="Times New Roman Regular" w:hAnsi="Times New Roman Regular" w:eastAsia="仿宋_GB2312" w:cs="Times New Roman Regular"/>
          <w:color w:val="000000" w:themeColor="text1"/>
          <w:sz w:val="28"/>
          <w:szCs w:val="28"/>
          <w14:textFill>
            <w14:solidFill>
              <w14:schemeClr w14:val="tx1"/>
            </w14:solidFill>
          </w14:textFill>
        </w:rPr>
        <w:t>本项目</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不</w:t>
      </w:r>
      <w:r>
        <w:rPr>
          <w:rFonts w:ascii="Times New Roman Regular" w:hAnsi="Times New Roman Regular" w:eastAsia="仿宋_GB2312" w:cs="Times New Roman Regular"/>
          <w:color w:val="000000" w:themeColor="text1"/>
          <w:sz w:val="28"/>
          <w:szCs w:val="28"/>
          <w14:textFill>
            <w14:solidFill>
              <w14:schemeClr w14:val="tx1"/>
            </w14:solidFill>
          </w14:textFill>
        </w:rPr>
        <w:t>接受联合体参与采购活动。</w:t>
      </w:r>
      <w:bookmarkEnd w:id="171"/>
    </w:p>
    <w:p w14:paraId="73B6E5C0">
      <w:pPr>
        <w:pStyle w:val="6"/>
      </w:pPr>
      <w:bookmarkStart w:id="172" w:name="_Toc2266"/>
      <w:r>
        <w:t>（6）其他要求</w:t>
      </w:r>
      <w:bookmarkEnd w:id="172"/>
    </w:p>
    <w:p w14:paraId="4A98F87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73" w:name="_Toc8175"/>
      <w:r>
        <w:rPr>
          <w:rFonts w:ascii="Times New Roman Regular" w:hAnsi="Times New Roman Regular" w:eastAsia="仿宋_GB2312" w:cs="Times New Roman Regular"/>
          <w:color w:val="000000" w:themeColor="text1"/>
          <w:sz w:val="28"/>
          <w:szCs w:val="28"/>
          <w14:textFill>
            <w14:solidFill>
              <w14:schemeClr w14:val="tx1"/>
            </w14:solidFill>
          </w14:textFill>
        </w:rPr>
        <w:t>单位负责人为同一人或者存在控股、管理关系的不同单位，不得作为单一申请人同时参加本项目采购。申请人应提供申请人股东结构证明的工商登记备案材料或其他合法有效证明。</w:t>
      </w:r>
      <w:bookmarkEnd w:id="173"/>
    </w:p>
    <w:p w14:paraId="6654C10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bookmarkEnd w:id="143"/>
    <w:bookmarkEnd w:id="144"/>
    <w:bookmarkEnd w:id="145"/>
    <w:p w14:paraId="22FD4192">
      <w:pPr>
        <w:pStyle w:val="4"/>
      </w:pPr>
      <w:bookmarkStart w:id="174" w:name="_Toc26179"/>
      <w:bookmarkStart w:id="175" w:name="_Toc29237"/>
      <w:bookmarkStart w:id="176" w:name="_Toc188530565"/>
      <w:bookmarkStart w:id="177" w:name="_Toc28463"/>
      <w:r>
        <w:rPr>
          <w:rFonts w:hint="eastAsia"/>
        </w:rPr>
        <w:t>（六）</w:t>
      </w:r>
      <w:r>
        <w:t>交易结构与投融资结构</w:t>
      </w:r>
      <w:bookmarkEnd w:id="174"/>
      <w:bookmarkEnd w:id="175"/>
      <w:bookmarkEnd w:id="176"/>
      <w:bookmarkEnd w:id="177"/>
    </w:p>
    <w:p w14:paraId="68C93CD4">
      <w:pPr>
        <w:pStyle w:val="5"/>
      </w:pPr>
      <w:bookmarkStart w:id="178" w:name="_Toc5937"/>
      <w:r>
        <w:t>1、交易结构</w:t>
      </w:r>
      <w:bookmarkEnd w:id="178"/>
    </w:p>
    <w:p w14:paraId="4005B013">
      <w:pPr>
        <w:pStyle w:val="58"/>
        <w:widowControl/>
        <w:tabs>
          <w:tab w:val="left" w:pos="993"/>
        </w:tabs>
        <w:spacing w:line="360" w:lineRule="auto"/>
        <w:ind w:firstLine="565" w:firstLineChars="202"/>
        <w:rPr>
          <w:rFonts w:ascii="仿宋" w:hAnsi="仿宋" w:eastAsia="仿宋" w:cs="仿宋"/>
          <w:sz w:val="28"/>
          <w:szCs w:val="28"/>
        </w:rPr>
      </w:pPr>
      <w:bookmarkStart w:id="179" w:name="_Toc10887"/>
      <w:bookmarkStart w:id="180" w:name="_Toc32586"/>
      <w:bookmarkStart w:id="181" w:name="_Toc20208"/>
      <w:bookmarkStart w:id="182" w:name="_Toc13323"/>
      <w:r>
        <w:rPr>
          <w:rFonts w:hint="eastAsia" w:ascii="仿宋" w:hAnsi="仿宋" w:eastAsia="仿宋" w:cs="仿宋"/>
          <w:sz w:val="28"/>
          <w:szCs w:val="28"/>
        </w:rPr>
        <w:t xml:space="preserve">本项目采用TOT模式实施，交易结构具体来说： </w:t>
      </w:r>
    </w:p>
    <w:p w14:paraId="3540A225">
      <w:pPr>
        <w:pStyle w:val="58"/>
        <w:widowControl/>
        <w:numPr>
          <w:ilvl w:val="0"/>
          <w:numId w:val="1"/>
        </w:numPr>
        <w:tabs>
          <w:tab w:val="left" w:pos="1418"/>
        </w:tabs>
        <w:spacing w:line="360" w:lineRule="auto"/>
        <w:ind w:left="0" w:firstLine="567" w:firstLineChars="0"/>
        <w:rPr>
          <w:rFonts w:ascii="仿宋" w:hAnsi="仿宋" w:eastAsia="仿宋" w:cs="仿宋"/>
          <w:sz w:val="28"/>
          <w:szCs w:val="28"/>
        </w:rPr>
      </w:pPr>
      <w:r>
        <w:rPr>
          <w:rFonts w:hint="eastAsia" w:ascii="仿宋" w:hAnsi="仿宋" w:eastAsia="仿宋" w:cs="仿宋"/>
          <w:sz w:val="28"/>
          <w:szCs w:val="28"/>
        </w:rPr>
        <w:t>由湘桥区人民政府授权区农业农村局作为本项目实施机构，牵头负责项目策划、实施方案编制、特许经营单位采购、签订特许经营协议，并负责项目后续履约监管、移交等工作；</w:t>
      </w:r>
    </w:p>
    <w:p w14:paraId="0B9925BC">
      <w:pPr>
        <w:pStyle w:val="58"/>
        <w:widowControl/>
        <w:numPr>
          <w:ilvl w:val="0"/>
          <w:numId w:val="1"/>
        </w:numPr>
        <w:tabs>
          <w:tab w:val="left" w:pos="1418"/>
        </w:tabs>
        <w:spacing w:line="360" w:lineRule="auto"/>
        <w:ind w:left="0" w:firstLine="567" w:firstLineChars="0"/>
        <w:rPr>
          <w:rFonts w:ascii="仿宋" w:hAnsi="仿宋" w:eastAsia="仿宋" w:cs="仿宋"/>
          <w:sz w:val="28"/>
          <w:szCs w:val="28"/>
        </w:rPr>
      </w:pPr>
      <w:r>
        <w:rPr>
          <w:rFonts w:hint="eastAsia" w:ascii="仿宋" w:hAnsi="仿宋" w:eastAsia="仿宋" w:cs="仿宋"/>
          <w:sz w:val="28"/>
          <w:szCs w:val="28"/>
        </w:rPr>
        <w:t>通过公开招标程序，选择一家具有较强资本实力和污水处理运营经验的特许经营单位；</w:t>
      </w:r>
    </w:p>
    <w:p w14:paraId="4FCC57B0">
      <w:pPr>
        <w:pStyle w:val="58"/>
        <w:widowControl/>
        <w:numPr>
          <w:ilvl w:val="0"/>
          <w:numId w:val="1"/>
        </w:numPr>
        <w:tabs>
          <w:tab w:val="left" w:pos="1418"/>
        </w:tabs>
        <w:spacing w:line="360" w:lineRule="auto"/>
        <w:ind w:left="0" w:firstLine="567" w:firstLineChars="0"/>
        <w:rPr>
          <w:rFonts w:ascii="仿宋" w:hAnsi="仿宋" w:eastAsia="仿宋" w:cs="仿宋"/>
          <w:sz w:val="28"/>
          <w:szCs w:val="28"/>
        </w:rPr>
      </w:pPr>
      <w:r>
        <w:rPr>
          <w:rFonts w:hint="eastAsia" w:ascii="仿宋" w:hAnsi="仿宋" w:eastAsia="仿宋" w:cs="仿宋"/>
          <w:sz w:val="28"/>
          <w:szCs w:val="28"/>
        </w:rPr>
        <w:t>中标特许经营单位向支付足额支付特许经营转让费，获得项目3</w:t>
      </w:r>
      <w:r>
        <w:rPr>
          <w:rFonts w:ascii="仿宋" w:hAnsi="仿宋" w:eastAsia="仿宋" w:cs="仿宋"/>
          <w:sz w:val="28"/>
          <w:szCs w:val="28"/>
        </w:rPr>
        <w:t>0</w:t>
      </w:r>
      <w:r>
        <w:rPr>
          <w:rFonts w:hint="eastAsia" w:ascii="仿宋" w:hAnsi="仿宋" w:eastAsia="仿宋" w:cs="仿宋"/>
          <w:sz w:val="28"/>
          <w:szCs w:val="28"/>
        </w:rPr>
        <w:t>年的特许经营权，负责项目的运营维护；</w:t>
      </w:r>
    </w:p>
    <w:p w14:paraId="6D4CE2DC">
      <w:pPr>
        <w:pStyle w:val="58"/>
        <w:widowControl/>
        <w:numPr>
          <w:ilvl w:val="0"/>
          <w:numId w:val="1"/>
        </w:numPr>
        <w:tabs>
          <w:tab w:val="left" w:pos="1418"/>
        </w:tabs>
        <w:spacing w:line="360" w:lineRule="auto"/>
        <w:ind w:left="0" w:firstLine="567" w:firstLineChars="0"/>
        <w:rPr>
          <w:rFonts w:ascii="仿宋" w:hAnsi="仿宋" w:eastAsia="仿宋" w:cs="仿宋"/>
          <w:sz w:val="28"/>
          <w:szCs w:val="28"/>
        </w:rPr>
      </w:pPr>
      <w:r>
        <w:rPr>
          <w:rFonts w:hint="eastAsia" w:ascii="仿宋" w:hAnsi="仿宋" w:eastAsia="仿宋" w:cs="仿宋"/>
          <w:sz w:val="28"/>
          <w:szCs w:val="28"/>
        </w:rPr>
        <w:t>政府根据绩效考核情况分期向特许经营单位支付服务费；</w:t>
      </w:r>
    </w:p>
    <w:p w14:paraId="7F6D4BB6">
      <w:pPr>
        <w:pStyle w:val="58"/>
        <w:widowControl/>
        <w:numPr>
          <w:ilvl w:val="0"/>
          <w:numId w:val="1"/>
        </w:numPr>
        <w:tabs>
          <w:tab w:val="left" w:pos="1418"/>
        </w:tabs>
        <w:spacing w:line="360" w:lineRule="auto"/>
        <w:ind w:left="0" w:firstLine="567" w:firstLineChars="0"/>
        <w:rPr>
          <w:rFonts w:ascii="仿宋" w:hAnsi="仿宋" w:eastAsia="仿宋" w:cs="仿宋"/>
          <w:sz w:val="28"/>
          <w:szCs w:val="28"/>
        </w:rPr>
      </w:pPr>
      <w:r>
        <w:rPr>
          <w:rFonts w:hint="eastAsia" w:ascii="仿宋" w:hAnsi="仿宋" w:eastAsia="仿宋" w:cs="仿宋"/>
          <w:sz w:val="28"/>
          <w:szCs w:val="28"/>
        </w:rPr>
        <w:t>项目特许经营期满，特许经营单位无偿将项目的运营设施完好无损并无偿移交给实施机构或其指定机构。</w:t>
      </w:r>
      <w:bookmarkEnd w:id="179"/>
      <w:bookmarkEnd w:id="180"/>
      <w:bookmarkEnd w:id="181"/>
    </w:p>
    <w:p w14:paraId="0B2F731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本项目不要求中标特许经营单位必须在本地成立项目公司，但</w:t>
      </w:r>
      <w:r>
        <w:rPr>
          <w:rFonts w:ascii="Times New Roman Regular" w:hAnsi="Times New Roman Regular" w:eastAsia="仿宋_GB2312" w:cs="Times New Roman Regular"/>
          <w:color w:val="000000" w:themeColor="text1"/>
          <w:sz w:val="28"/>
          <w:szCs w:val="28"/>
          <w14:textFill>
            <w14:solidFill>
              <w14:schemeClr w14:val="tx1"/>
            </w14:solidFill>
          </w14:textFill>
        </w:rPr>
        <w:t>为便于</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项目运营和政府</w:t>
      </w:r>
      <w:r>
        <w:rPr>
          <w:rFonts w:ascii="Times New Roman Regular" w:hAnsi="Times New Roman Regular" w:eastAsia="仿宋_GB2312" w:cs="Times New Roman Regular"/>
          <w:color w:val="000000" w:themeColor="text1"/>
          <w:sz w:val="28"/>
          <w:szCs w:val="28"/>
          <w14:textFill>
            <w14:solidFill>
              <w14:schemeClr w14:val="tx1"/>
            </w14:solidFill>
          </w14:textFill>
        </w:rPr>
        <w:t>监管，特许经营</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单位</w:t>
      </w:r>
      <w:r>
        <w:rPr>
          <w:rFonts w:ascii="Times New Roman Regular" w:hAnsi="Times New Roman Regular" w:eastAsia="仿宋_GB2312" w:cs="Times New Roman Regular"/>
          <w:color w:val="000000" w:themeColor="text1"/>
          <w:sz w:val="28"/>
          <w:szCs w:val="28"/>
          <w14:textFill>
            <w14:solidFill>
              <w14:schemeClr w14:val="tx1"/>
            </w14:solidFill>
          </w14:textFill>
        </w:rPr>
        <w:t>可按照《中华人民共和国公司法》，</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在潮州市</w:t>
      </w:r>
      <w:r>
        <w:rPr>
          <w:rFonts w:ascii="Times New Roman Regular" w:hAnsi="Times New Roman Regular" w:eastAsia="仿宋_GB2312" w:cs="Times New Roman Regular"/>
          <w:color w:val="000000" w:themeColor="text1"/>
          <w:sz w:val="28"/>
          <w:szCs w:val="28"/>
          <w14:textFill>
            <w14:solidFill>
              <w14:schemeClr w14:val="tx1"/>
            </w14:solidFill>
          </w14:textFill>
        </w:rPr>
        <w:t>成立一家</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项目公司</w:t>
      </w:r>
      <w:r>
        <w:rPr>
          <w:rFonts w:ascii="Times New Roman Regular" w:hAnsi="Times New Roman Regular" w:eastAsia="仿宋_GB2312" w:cs="Times New Roman Regular"/>
          <w:color w:val="000000" w:themeColor="text1"/>
          <w:sz w:val="28"/>
          <w:szCs w:val="28"/>
          <w14:textFill>
            <w14:solidFill>
              <w14:schemeClr w14:val="tx1"/>
            </w14:solidFill>
          </w14:textFill>
        </w:rPr>
        <w:t>（SPV），负责项目运营、维护管理和移交等相关工作，</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由其</w:t>
      </w:r>
      <w:r>
        <w:rPr>
          <w:rFonts w:ascii="Times New Roman Regular" w:hAnsi="Times New Roman Regular" w:eastAsia="仿宋_GB2312" w:cs="Times New Roman Regular"/>
          <w:color w:val="000000" w:themeColor="text1"/>
          <w:sz w:val="28"/>
          <w:szCs w:val="28"/>
          <w14:textFill>
            <w14:solidFill>
              <w14:schemeClr w14:val="tx1"/>
            </w14:solidFill>
          </w14:textFill>
        </w:rPr>
        <w:t>出资</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1</w:t>
      </w:r>
      <w:r>
        <w:rPr>
          <w:rFonts w:ascii="Times New Roman Regular" w:hAnsi="Times New Roman Regular" w:eastAsia="仿宋_GB2312" w:cs="Times New Roman Regular"/>
          <w:color w:val="000000" w:themeColor="text1"/>
          <w:sz w:val="28"/>
          <w:szCs w:val="28"/>
          <w14:textFill>
            <w14:solidFill>
              <w14:schemeClr w14:val="tx1"/>
            </w14:solidFill>
          </w14:textFill>
        </w:rPr>
        <w:t>00%</w:t>
      </w:r>
      <w:bookmarkEnd w:id="182"/>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，政府方不参股。</w:t>
      </w:r>
    </w:p>
    <w:p w14:paraId="365F5701">
      <w:pPr>
        <w:pStyle w:val="17"/>
        <w:widowControl/>
        <w:shd w:val="clear" w:color="auto" w:fill="FFFFFF"/>
        <w:spacing w:beforeAutospacing="0" w:afterAutospacing="0"/>
        <w:ind w:firstLine="480"/>
        <w:jc w:val="center"/>
        <w:rPr>
          <w:rFonts w:ascii="Times New Roman Regular" w:hAnsi="Times New Roman Regular" w:cs="Times New Roman Regular"/>
          <w:color w:val="000000" w:themeColor="text1"/>
          <w:sz w:val="28"/>
          <w:szCs w:val="28"/>
          <w14:textFill>
            <w14:solidFill>
              <w14:schemeClr w14:val="tx1"/>
            </w14:solidFill>
          </w14:textFill>
        </w:rPr>
      </w:pPr>
      <w:r>
        <w:drawing>
          <wp:inline distT="0" distB="0" distL="0" distR="0">
            <wp:extent cx="5245100" cy="4657725"/>
            <wp:effectExtent l="0" t="0" r="0" b="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48430" cy="4660205"/>
                    </a:xfrm>
                    <a:prstGeom prst="rect">
                      <a:avLst/>
                    </a:prstGeom>
                    <a:noFill/>
                    <a:ln>
                      <a:noFill/>
                    </a:ln>
                  </pic:spPr>
                </pic:pic>
              </a:graphicData>
            </a:graphic>
          </wp:inline>
        </w:drawing>
      </w:r>
    </w:p>
    <w:p w14:paraId="00053316">
      <w:pPr>
        <w:pStyle w:val="5"/>
      </w:pPr>
      <w:bookmarkStart w:id="183" w:name="_Toc10822"/>
      <w:r>
        <w:t>2、投融资结构</w:t>
      </w:r>
      <w:bookmarkEnd w:id="183"/>
    </w:p>
    <w:p w14:paraId="363E6F4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84" w:name="_Toc18032"/>
      <w:r>
        <w:rPr>
          <w:rFonts w:ascii="Times New Roman Regular" w:hAnsi="Times New Roman Regular" w:eastAsia="仿宋_GB2312" w:cs="Times New Roman Regular"/>
          <w:color w:val="000000" w:themeColor="text1"/>
          <w:sz w:val="28"/>
          <w:szCs w:val="28"/>
          <w14:textFill>
            <w14:solidFill>
              <w14:schemeClr w14:val="tx1"/>
            </w14:solidFill>
          </w14:textFill>
        </w:rPr>
        <w:t>本项目特许经营权转让价等于资产评估价值。根据《资产评估报告》，本项目</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特许经营权转让价为</w:t>
      </w:r>
      <w:r>
        <w:rPr>
          <w:rFonts w:ascii="Times New Roman Regular" w:hAnsi="Times New Roman Regular" w:eastAsia="仿宋_GB2312" w:cs="Times New Roman Regular"/>
          <w:color w:val="000000" w:themeColor="text1"/>
          <w:sz w:val="28"/>
          <w:szCs w:val="28"/>
          <w14:textFill>
            <w14:solidFill>
              <w14:schemeClr w14:val="tx1"/>
            </w14:solidFill>
          </w14:textFill>
        </w:rPr>
        <w:t>10020万元。</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特许经营单位应在特许经营协议签订后1个月内全额支付给湘桥区政府。特许经营单位可将特许经营协议项下的收益权设定质押或其他担保权益进行项目融资，</w:t>
      </w:r>
      <w:r>
        <w:rPr>
          <w:rFonts w:ascii="Times New Roman Regular" w:hAnsi="Times New Roman Regular" w:eastAsia="仿宋_GB2312" w:cs="Times New Roman Regular"/>
          <w:color w:val="000000" w:themeColor="text1"/>
          <w:sz w:val="28"/>
          <w:szCs w:val="28"/>
          <w14:textFill>
            <w14:solidFill>
              <w14:schemeClr w14:val="tx1"/>
            </w14:solidFill>
          </w14:textFill>
        </w:rPr>
        <w:t>按照总投资的20%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计算，要求特许经营单位提供不低于2</w:t>
      </w:r>
      <w:r>
        <w:rPr>
          <w:rFonts w:ascii="Times New Roman Regular" w:hAnsi="Times New Roman Regular" w:eastAsia="仿宋_GB2312" w:cs="Times New Roman Regular"/>
          <w:color w:val="000000" w:themeColor="text1"/>
          <w:sz w:val="28"/>
          <w:szCs w:val="28"/>
          <w14:textFill>
            <w14:solidFill>
              <w14:schemeClr w14:val="tx1"/>
            </w14:solidFill>
          </w14:textFill>
        </w:rPr>
        <w:t>254</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万元项目资本金，剩余资金向银行贷款</w:t>
      </w:r>
      <w:r>
        <w:rPr>
          <w:rFonts w:ascii="Times New Roman Regular" w:hAnsi="Times New Roman Regular" w:eastAsia="仿宋_GB2312" w:cs="Times New Roman Regular"/>
          <w:color w:val="000000" w:themeColor="text1"/>
          <w:sz w:val="28"/>
          <w:szCs w:val="28"/>
          <w14:textFill>
            <w14:solidFill>
              <w14:schemeClr w14:val="tx1"/>
            </w14:solidFill>
          </w14:textFill>
        </w:rPr>
        <w:t>。</w:t>
      </w:r>
      <w:bookmarkEnd w:id="184"/>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但必须说明的是，本项目特许经营权的转让费的筹措责任完全由特许经营单位承担。</w:t>
      </w:r>
    </w:p>
    <w:p w14:paraId="6AFDB68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7D46A7D5">
      <w:pPr>
        <w:pStyle w:val="4"/>
      </w:pPr>
      <w:bookmarkStart w:id="185" w:name="_Toc188530566"/>
      <w:bookmarkStart w:id="186" w:name="_Toc4271"/>
      <w:bookmarkStart w:id="187" w:name="_Toc23413"/>
      <w:bookmarkStart w:id="188" w:name="_Toc748"/>
      <w:r>
        <w:rPr>
          <w:rFonts w:hint="eastAsia"/>
        </w:rPr>
        <w:t>（七）</w:t>
      </w:r>
      <w:r>
        <w:t>监督管理和运营评价</w:t>
      </w:r>
      <w:bookmarkEnd w:id="185"/>
    </w:p>
    <w:p w14:paraId="1AA18E91">
      <w:pPr>
        <w:pStyle w:val="5"/>
      </w:pPr>
      <w:bookmarkStart w:id="189" w:name="_Toc27885"/>
      <w:r>
        <w:t>1、监督管理</w:t>
      </w:r>
      <w:bookmarkEnd w:id="189"/>
    </w:p>
    <w:p w14:paraId="42E711A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90" w:name="_Toc8625"/>
      <w:r>
        <w:rPr>
          <w:rFonts w:ascii="Times New Roman Regular" w:hAnsi="Times New Roman Regular" w:eastAsia="仿宋_GB2312" w:cs="Times New Roman Regular"/>
          <w:color w:val="000000" w:themeColor="text1"/>
          <w:sz w:val="28"/>
          <w:szCs w:val="28"/>
          <w14:textFill>
            <w14:solidFill>
              <w14:schemeClr w14:val="tx1"/>
            </w14:solidFill>
          </w14:textFill>
        </w:rPr>
        <w:t>为更好地提供公共产品和服务，提高公众对公共产品和服务的满意度，本方案制订详细的监管架构，从权责关系、全生命周期监管内容和监管方式等方面，对特许经营合作方及特许经营单位的行为进行全方位监管。</w:t>
      </w:r>
      <w:bookmarkEnd w:id="190"/>
    </w:p>
    <w:p w14:paraId="359C8690">
      <w:pPr>
        <w:pStyle w:val="6"/>
      </w:pPr>
      <w:bookmarkStart w:id="191" w:name="_Toc30624"/>
      <w:r>
        <w:t>（1）权责关系</w:t>
      </w:r>
      <w:bookmarkEnd w:id="191"/>
    </w:p>
    <w:p w14:paraId="50E30ED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92" w:name="_Toc26387"/>
      <w:r>
        <w:rPr>
          <w:rFonts w:ascii="Times New Roman Regular" w:hAnsi="Times New Roman Regular" w:eastAsia="仿宋_GB2312" w:cs="Times New Roman Regular"/>
          <w:color w:val="000000" w:themeColor="text1"/>
          <w:sz w:val="28"/>
          <w:szCs w:val="28"/>
          <w14:textFill>
            <w14:solidFill>
              <w14:schemeClr w14:val="tx1"/>
            </w14:solidFill>
          </w14:textFill>
        </w:rPr>
        <w:t>本项目由湘桥</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区人民政府</w:t>
      </w:r>
      <w:r>
        <w:rPr>
          <w:rFonts w:ascii="Times New Roman Regular" w:hAnsi="Times New Roman Regular" w:eastAsia="仿宋_GB2312" w:cs="Times New Roman Regular"/>
          <w:color w:val="000000" w:themeColor="text1"/>
          <w:sz w:val="28"/>
          <w:szCs w:val="28"/>
          <w14:textFill>
            <w14:solidFill>
              <w14:schemeClr w14:val="tx1"/>
            </w14:solidFill>
          </w14:textFill>
        </w:rPr>
        <w:t>授权</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湘桥区农业农村</w:t>
      </w:r>
      <w:r>
        <w:rPr>
          <w:rFonts w:ascii="Times New Roman Regular" w:hAnsi="Times New Roman Regular" w:eastAsia="仿宋_GB2312" w:cs="Times New Roman Regular"/>
          <w:color w:val="000000" w:themeColor="text1"/>
          <w:sz w:val="28"/>
          <w:szCs w:val="28"/>
          <w14:textFill>
            <w14:solidFill>
              <w14:schemeClr w14:val="tx1"/>
            </w14:solidFill>
          </w14:textFill>
        </w:rPr>
        <w:t>局作为本项目的实施机构，享有对项目从</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策划、论证、</w:t>
      </w:r>
      <w:r>
        <w:rPr>
          <w:rFonts w:ascii="Times New Roman Regular" w:hAnsi="Times New Roman Regular" w:eastAsia="仿宋_GB2312" w:cs="Times New Roman Regular"/>
          <w:color w:val="000000" w:themeColor="text1"/>
          <w:sz w:val="28"/>
          <w:szCs w:val="28"/>
          <w14:textFill>
            <w14:solidFill>
              <w14:schemeClr w14:val="tx1"/>
            </w14:solidFill>
          </w14:textFill>
        </w:rPr>
        <w:t>经营权转让、运营管理维护、中期评估、移交、项目后评价等全过程全环节的监管职责。同时，核定需对特许经营合</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单位</w:t>
      </w:r>
      <w:r>
        <w:rPr>
          <w:rFonts w:ascii="Times New Roman Regular" w:hAnsi="Times New Roman Regular" w:eastAsia="仿宋_GB2312" w:cs="Times New Roman Regular"/>
          <w:color w:val="000000" w:themeColor="text1"/>
          <w:sz w:val="28"/>
          <w:szCs w:val="28"/>
          <w14:textFill>
            <w14:solidFill>
              <w14:schemeClr w14:val="tx1"/>
            </w14:solidFill>
          </w14:textFill>
        </w:rPr>
        <w:t>支付的</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w:t>
      </w:r>
      <w:bookmarkEnd w:id="192"/>
    </w:p>
    <w:p w14:paraId="31BC2CD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93" w:name="_Toc6954"/>
      <w:r>
        <w:rPr>
          <w:rFonts w:ascii="Times New Roman Regular" w:hAnsi="Times New Roman Regular" w:eastAsia="仿宋_GB2312" w:cs="Times New Roman Regular"/>
          <w:color w:val="000000" w:themeColor="text1"/>
          <w:sz w:val="28"/>
          <w:szCs w:val="28"/>
          <w14:textFill>
            <w14:solidFill>
              <w14:schemeClr w14:val="tx1"/>
            </w14:solidFill>
          </w14:textFill>
        </w:rPr>
        <w:t>特许经营单位根据与政府方签订的《特许经营协议》，在特许经营期内负责本项目的运营维护，并接受公众、政府的监督。</w:t>
      </w:r>
      <w:bookmarkEnd w:id="193"/>
      <w:r>
        <w:rPr>
          <w:rFonts w:ascii="Times New Roman Regular" w:hAnsi="Times New Roman Regular" w:eastAsia="仿宋_GB2312" w:cs="Times New Roman Regular"/>
          <w:color w:val="000000" w:themeColor="text1"/>
          <w:sz w:val="28"/>
          <w:szCs w:val="28"/>
          <w14:textFill>
            <w14:solidFill>
              <w14:schemeClr w14:val="tx1"/>
            </w14:solidFill>
          </w14:textFill>
        </w:rPr>
        <w:t xml:space="preserve"> </w:t>
      </w:r>
    </w:p>
    <w:p w14:paraId="2C38CEB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94" w:name="_Toc13572"/>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发改部门负责项目特许经营实施方案的审定把关。</w:t>
      </w:r>
    </w:p>
    <w:p w14:paraId="1B11D1F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财政部门应从项目经营权作价转让、项目采购等环节进行</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监督</w:t>
      </w:r>
      <w:r>
        <w:rPr>
          <w:rFonts w:ascii="Times New Roman Regular" w:hAnsi="Times New Roman Regular" w:eastAsia="仿宋_GB2312" w:cs="Times New Roman Regular"/>
          <w:color w:val="000000" w:themeColor="text1"/>
          <w:sz w:val="28"/>
          <w:szCs w:val="28"/>
          <w14:textFill>
            <w14:solidFill>
              <w14:schemeClr w14:val="tx1"/>
            </w14:solidFill>
          </w14:textFill>
        </w:rPr>
        <w:t>。</w:t>
      </w:r>
      <w:bookmarkEnd w:id="194"/>
      <w:r>
        <w:rPr>
          <w:rFonts w:ascii="Times New Roman Regular" w:hAnsi="Times New Roman Regular" w:eastAsia="仿宋_GB2312" w:cs="Times New Roman Regular"/>
          <w:color w:val="000000" w:themeColor="text1"/>
          <w:sz w:val="28"/>
          <w:szCs w:val="28"/>
          <w14:textFill>
            <w14:solidFill>
              <w14:schemeClr w14:val="tx1"/>
            </w14:solidFill>
          </w14:textFill>
        </w:rPr>
        <w:t xml:space="preserve"> </w:t>
      </w:r>
    </w:p>
    <w:p w14:paraId="15B07C4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95" w:name="_Toc19659"/>
      <w:r>
        <w:rPr>
          <w:rFonts w:ascii="Times New Roman Regular" w:hAnsi="Times New Roman Regular" w:eastAsia="仿宋_GB2312" w:cs="Times New Roman Regular"/>
          <w:color w:val="000000" w:themeColor="text1"/>
          <w:sz w:val="28"/>
          <w:szCs w:val="28"/>
          <w14:textFill>
            <w14:solidFill>
              <w14:schemeClr w14:val="tx1"/>
            </w14:solidFill>
          </w14:textFill>
        </w:rPr>
        <w:t>法制部门应该对整个协议的法律合规性进行审查，对项目相关合同中的条款进行审查，确保项目相关事项的法律合规性。</w:t>
      </w:r>
      <w:bookmarkEnd w:id="195"/>
    </w:p>
    <w:p w14:paraId="2E9C3BDC">
      <w:pPr>
        <w:pStyle w:val="6"/>
      </w:pPr>
      <w:bookmarkStart w:id="196" w:name="_Toc32356"/>
      <w:r>
        <w:t>（2）监管结构</w:t>
      </w:r>
      <w:bookmarkEnd w:id="196"/>
    </w:p>
    <w:p w14:paraId="3AB123C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97" w:name="_Toc17402"/>
      <w:r>
        <w:rPr>
          <w:rFonts w:ascii="Times New Roman Regular" w:hAnsi="Times New Roman Regular" w:eastAsia="仿宋_GB2312" w:cs="Times New Roman Regular"/>
          <w:color w:val="000000" w:themeColor="text1"/>
          <w:sz w:val="28"/>
          <w:szCs w:val="28"/>
          <w14:textFill>
            <w14:solidFill>
              <w14:schemeClr w14:val="tx1"/>
            </w14:solidFill>
          </w14:textFill>
        </w:rPr>
        <w:t>本项目的监管方式包括：履约管理、行政监管、公众监督。本项目由履约管理、行政监管、公众监督构成了全方位的监管体系。</w:t>
      </w:r>
      <w:bookmarkEnd w:id="197"/>
    </w:p>
    <w:p w14:paraId="38B5DC90">
      <w:pPr>
        <w:pStyle w:val="6"/>
      </w:pPr>
      <w:bookmarkStart w:id="198" w:name="_Toc21636"/>
      <w:r>
        <w:t>（3）监管内容</w:t>
      </w:r>
      <w:bookmarkEnd w:id="198"/>
    </w:p>
    <w:p w14:paraId="33DB494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199" w:name="_Toc28084"/>
      <w:r>
        <w:rPr>
          <w:rFonts w:ascii="Times New Roman Regular" w:hAnsi="Times New Roman Regular" w:eastAsia="仿宋_GB2312" w:cs="Times New Roman Regular"/>
          <w:color w:val="000000" w:themeColor="text1"/>
          <w:sz w:val="28"/>
          <w:szCs w:val="28"/>
          <w14:textFill>
            <w14:solidFill>
              <w14:schemeClr w14:val="tx1"/>
            </w14:solidFill>
          </w14:textFill>
        </w:rPr>
        <w:t>在项目生命周期的不同阶段，各行政监管部门的具体职责和侧重监管内容如下：项目经营权转让期间，对项目资产评估的认定、备案监管、</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实施方案的审批、</w:t>
      </w:r>
      <w:r>
        <w:rPr>
          <w:rFonts w:ascii="Times New Roman Regular" w:hAnsi="Times New Roman Regular" w:eastAsia="仿宋_GB2312" w:cs="Times New Roman Regular"/>
          <w:color w:val="000000" w:themeColor="text1"/>
          <w:sz w:val="28"/>
          <w:szCs w:val="28"/>
          <w14:textFill>
            <w14:solidFill>
              <w14:schemeClr w14:val="tx1"/>
            </w14:solidFill>
          </w14:textFill>
        </w:rPr>
        <w:t>对采购过程选择特许经营合作方的监管；对订立协议的监管等。</w:t>
      </w:r>
      <w:bookmarkEnd w:id="199"/>
      <w:r>
        <w:rPr>
          <w:rFonts w:ascii="Times New Roman Regular" w:hAnsi="Times New Roman Regular" w:eastAsia="仿宋_GB2312" w:cs="Times New Roman Regular"/>
          <w:color w:val="000000" w:themeColor="text1"/>
          <w:sz w:val="28"/>
          <w:szCs w:val="28"/>
          <w14:textFill>
            <w14:solidFill>
              <w14:schemeClr w14:val="tx1"/>
            </w14:solidFill>
          </w14:textFill>
        </w:rPr>
        <w:t xml:space="preserve"> </w:t>
      </w:r>
    </w:p>
    <w:p w14:paraId="7FD7EEE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00" w:name="_Toc13743"/>
      <w:r>
        <w:rPr>
          <w:rFonts w:ascii="Times New Roman Regular" w:hAnsi="Times New Roman Regular" w:eastAsia="仿宋_GB2312" w:cs="Times New Roman Regular"/>
          <w:color w:val="000000" w:themeColor="text1"/>
          <w:sz w:val="28"/>
          <w:szCs w:val="28"/>
          <w14:textFill>
            <w14:solidFill>
              <w14:schemeClr w14:val="tx1"/>
            </w14:solidFill>
          </w14:textFill>
        </w:rPr>
        <w:t>项目特许经营期，包括对项目运营维护的监管、产品（服务）质量的监管；对项目运营的绩效评价；项目后评价等。</w:t>
      </w:r>
    </w:p>
    <w:p w14:paraId="7E9798E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实施机构可根据需要，聘请专业的第三方机构协助进行绩效评价。可以每隔三年开展一次经营情况中期评估，对项目运营管理效率、服务质量、公众满意度、《特许经营协议》履约情况等进行综合评价，对运营管理和服务中存在的问题，要求特许经营单位及时作出调整和改进，切实提高服务质量和运营管理水平。同时，通过评估，帮助政府全面掌握项目运营状况，发现监管工作的不足和漏洞，调整监管工作范围和工作重点，提高监管工作效率和效果。</w:t>
      </w:r>
      <w:bookmarkEnd w:id="200"/>
    </w:p>
    <w:p w14:paraId="18D30F1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01" w:name="_Toc1867"/>
      <w:r>
        <w:rPr>
          <w:rFonts w:ascii="Times New Roman Regular" w:hAnsi="Times New Roman Regular" w:eastAsia="仿宋_GB2312" w:cs="Times New Roman Regular"/>
          <w:color w:val="000000" w:themeColor="text1"/>
          <w:sz w:val="28"/>
          <w:szCs w:val="28"/>
          <w14:textFill>
            <w14:solidFill>
              <w14:schemeClr w14:val="tx1"/>
            </w14:solidFill>
          </w14:textFill>
        </w:rPr>
        <w:t>项目移交期，其职责是成立移交委员会，对项目移交过程进行监督，确保项目移交前符合相关标准。包括：项目设施、土地及所涉及的任何资产不存在权利瑕疵，其上未设置任何担保及其他第三人的权利；项目设施应符合双方约定的技术、安全和环保标准，本项目在移交阶段则侧重于封场标准的选择和封场后的环境保护。</w:t>
      </w:r>
      <w:bookmarkEnd w:id="201"/>
    </w:p>
    <w:p w14:paraId="73F6F8BD">
      <w:pPr>
        <w:pStyle w:val="6"/>
      </w:pPr>
      <w:bookmarkStart w:id="202" w:name="_Toc10557"/>
      <w:r>
        <w:t>（4）监管方式</w:t>
      </w:r>
      <w:bookmarkEnd w:id="202"/>
    </w:p>
    <w:p w14:paraId="64B14F8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03" w:name="_Toc1221"/>
      <w:r>
        <w:rPr>
          <w:rFonts w:ascii="Times New Roman Regular" w:hAnsi="Times New Roman Regular" w:eastAsia="微软雅黑" w:cs="Times New Roman Regular"/>
          <w:color w:val="000000" w:themeColor="text1"/>
          <w:sz w:val="28"/>
          <w:szCs w:val="28"/>
          <w14:textFill>
            <w14:solidFill>
              <w14:schemeClr w14:val="tx1"/>
            </w14:solidFill>
          </w14:textFill>
        </w:rPr>
        <w:t>①</w:t>
      </w:r>
      <w:r>
        <w:rPr>
          <w:rFonts w:ascii="Times New Roman Regular" w:hAnsi="Times New Roman Regular" w:eastAsia="仿宋_GB2312" w:cs="Times New Roman Regular"/>
          <w:color w:val="000000" w:themeColor="text1"/>
          <w:sz w:val="28"/>
          <w:szCs w:val="28"/>
          <w14:textFill>
            <w14:solidFill>
              <w14:schemeClr w14:val="tx1"/>
            </w14:solidFill>
          </w14:textFill>
        </w:rPr>
        <w:t>履约管理</w:t>
      </w:r>
      <w:bookmarkEnd w:id="203"/>
      <w:r>
        <w:rPr>
          <w:rFonts w:ascii="Times New Roman Regular" w:hAnsi="Times New Roman Regular" w:eastAsia="仿宋_GB2312" w:cs="Times New Roman Regular"/>
          <w:color w:val="000000" w:themeColor="text1"/>
          <w:sz w:val="28"/>
          <w:szCs w:val="28"/>
          <w14:textFill>
            <w14:solidFill>
              <w14:schemeClr w14:val="tx1"/>
            </w14:solidFill>
          </w14:textFill>
        </w:rPr>
        <w:t xml:space="preserve"> </w:t>
      </w:r>
    </w:p>
    <w:p w14:paraId="0144415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04" w:name="_Toc23809"/>
      <w:r>
        <w:rPr>
          <w:rFonts w:ascii="Times New Roman Regular" w:hAnsi="Times New Roman Regular" w:eastAsia="仿宋_GB2312" w:cs="Times New Roman Regular"/>
          <w:color w:val="000000" w:themeColor="text1"/>
          <w:sz w:val="28"/>
          <w:szCs w:val="28"/>
          <w14:textFill>
            <w14:solidFill>
              <w14:schemeClr w14:val="tx1"/>
            </w14:solidFill>
          </w14:textFill>
        </w:rPr>
        <w:t>履约管理即合同监管，即保证特许经营合作方服务质量符合《特许经营协议》及相关法律文件规定，以持续保证政府通过《特许经营协议》及相关法律文件对特许经营单位的要求得到遵从和履行。</w:t>
      </w:r>
      <w:bookmarkEnd w:id="204"/>
    </w:p>
    <w:p w14:paraId="328A630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05" w:name="_Toc18180"/>
      <w:r>
        <w:rPr>
          <w:rFonts w:ascii="Times New Roman Regular" w:hAnsi="Times New Roman Regular" w:eastAsia="仿宋_GB2312" w:cs="Times New Roman Regular"/>
          <w:color w:val="000000" w:themeColor="text1"/>
          <w:sz w:val="28"/>
          <w:szCs w:val="28"/>
          <w14:textFill>
            <w14:solidFill>
              <w14:schemeClr w14:val="tx1"/>
            </w14:solidFill>
          </w14:textFill>
        </w:rPr>
        <w:t>在项目合作的全生命周期内，特许经营合作方要按照《特许经营协议》按时足额提交投标保证金（保函）、运营维护保函和移交保函，确保在项目合作的全生命周期内，政府方对特许经营单位有足够的约束手段和工具。</w:t>
      </w:r>
      <w:bookmarkEnd w:id="205"/>
    </w:p>
    <w:p w14:paraId="020673B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06" w:name="_Toc22344"/>
      <w:r>
        <w:rPr>
          <w:rFonts w:ascii="Times New Roman Regular" w:hAnsi="Times New Roman Regular" w:eastAsia="仿宋_GB2312" w:cs="Times New Roman Regular"/>
          <w:color w:val="000000" w:themeColor="text1"/>
          <w:sz w:val="28"/>
          <w:szCs w:val="28"/>
          <w14:textFill>
            <w14:solidFill>
              <w14:schemeClr w14:val="tx1"/>
            </w14:solidFill>
          </w14:textFill>
        </w:rPr>
        <w:t>在项目运营过程中，特许经营单位根据《特许经营协议》的相关约定，按照协议所约定的经营权利、经营范围等内容，对本项目存量的各项基础设施和公共服务进行运营维护。实施机构按照相关合同法律文件的要求和标准，对特许经营单位进行考核，绩效考核结果与</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直接挂钩。</w:t>
      </w:r>
      <w:bookmarkEnd w:id="206"/>
    </w:p>
    <w:p w14:paraId="4C91125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07" w:name="_Toc2121"/>
      <w:r>
        <w:rPr>
          <w:rFonts w:ascii="Times New Roman Regular" w:hAnsi="Times New Roman Regular" w:eastAsia="仿宋_GB2312" w:cs="Times New Roman Regular"/>
          <w:color w:val="000000" w:themeColor="text1"/>
          <w:sz w:val="28"/>
          <w:szCs w:val="28"/>
          <w14:textFill>
            <w14:solidFill>
              <w14:schemeClr w14:val="tx1"/>
            </w14:solidFill>
          </w14:textFill>
        </w:rPr>
        <w:t>在项目移交过程中，实施机构按照《特许经营协议》和相关法律文件的约定，与特许经营单位一起组建项目移交委员会，拟定项目移交的程序、标准，并进行项目资产可用性评估，对特许经营单位的移交过程进行评估监督。</w:t>
      </w:r>
      <w:bookmarkEnd w:id="207"/>
    </w:p>
    <w:p w14:paraId="7479B5A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08" w:name="_Toc10701"/>
      <w:r>
        <w:rPr>
          <w:rFonts w:ascii="Times New Roman Regular" w:hAnsi="Times New Roman Regular" w:eastAsia="微软雅黑" w:cs="Times New Roman Regular"/>
          <w:color w:val="000000" w:themeColor="text1"/>
          <w:sz w:val="28"/>
          <w:szCs w:val="28"/>
          <w14:textFill>
            <w14:solidFill>
              <w14:schemeClr w14:val="tx1"/>
            </w14:solidFill>
          </w14:textFill>
        </w:rPr>
        <w:t>②</w:t>
      </w:r>
      <w:r>
        <w:rPr>
          <w:rFonts w:ascii="Times New Roman Regular" w:hAnsi="Times New Roman Regular" w:eastAsia="仿宋_GB2312" w:cs="Times New Roman Regular"/>
          <w:color w:val="000000" w:themeColor="text1"/>
          <w:sz w:val="28"/>
          <w:szCs w:val="28"/>
          <w14:textFill>
            <w14:solidFill>
              <w14:schemeClr w14:val="tx1"/>
            </w14:solidFill>
          </w14:textFill>
        </w:rPr>
        <w:t>行政监管</w:t>
      </w:r>
      <w:bookmarkEnd w:id="208"/>
      <w:r>
        <w:rPr>
          <w:rFonts w:ascii="Times New Roman Regular" w:hAnsi="Times New Roman Regular" w:eastAsia="仿宋_GB2312" w:cs="Times New Roman Regular"/>
          <w:color w:val="000000" w:themeColor="text1"/>
          <w:sz w:val="28"/>
          <w:szCs w:val="28"/>
          <w14:textFill>
            <w14:solidFill>
              <w14:schemeClr w14:val="tx1"/>
            </w14:solidFill>
          </w14:textFill>
        </w:rPr>
        <w:t xml:space="preserve"> </w:t>
      </w:r>
    </w:p>
    <w:p w14:paraId="7C3A2A7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09" w:name="_Toc23005"/>
      <w:r>
        <w:rPr>
          <w:rFonts w:ascii="Times New Roman Regular" w:hAnsi="Times New Roman Regular" w:eastAsia="仿宋_GB2312" w:cs="Times New Roman Regular"/>
          <w:color w:val="000000" w:themeColor="text1"/>
          <w:sz w:val="28"/>
          <w:szCs w:val="28"/>
          <w14:textFill>
            <w14:solidFill>
              <w14:schemeClr w14:val="tx1"/>
            </w14:solidFill>
          </w14:textFill>
        </w:rPr>
        <w:t>行政监管即保证特许经营单位的作业和服务质量符合行业通用技术标准和规范，确保其服务高质高效、稳定安全。湘桥</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区</w:t>
      </w:r>
      <w:r>
        <w:rPr>
          <w:rFonts w:ascii="Times New Roman Regular" w:hAnsi="Times New Roman Regular" w:eastAsia="仿宋_GB2312" w:cs="Times New Roman Regular"/>
          <w:color w:val="000000" w:themeColor="text1"/>
          <w:sz w:val="28"/>
          <w:szCs w:val="28"/>
          <w14:textFill>
            <w14:solidFill>
              <w14:schemeClr w14:val="tx1"/>
            </w14:solidFill>
          </w14:textFill>
        </w:rPr>
        <w:t>各职能部门，包括发改、审计、法制、财政、环保、国资、国土等部门，在各自职能范围内，对特许经营单位的作业及服务质量进行全方位地监管，以保证特许经营单位的作业及服务质量符合国家建设项目建设程序、审计标准、付费标准以及其他相关行业标准和规范。</w:t>
      </w:r>
      <w:bookmarkEnd w:id="209"/>
    </w:p>
    <w:p w14:paraId="5E7B378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10" w:name="_Toc13642"/>
      <w:r>
        <w:rPr>
          <w:rFonts w:ascii="Times New Roman Regular" w:hAnsi="Times New Roman Regular" w:eastAsia="微软雅黑" w:cs="Times New Roman Regular"/>
          <w:color w:val="000000" w:themeColor="text1"/>
          <w:sz w:val="28"/>
          <w:szCs w:val="28"/>
          <w14:textFill>
            <w14:solidFill>
              <w14:schemeClr w14:val="tx1"/>
            </w14:solidFill>
          </w14:textFill>
        </w:rPr>
        <w:t>③</w:t>
      </w:r>
      <w:r>
        <w:rPr>
          <w:rFonts w:ascii="Times New Roman Regular" w:hAnsi="Times New Roman Regular" w:eastAsia="仿宋_GB2312" w:cs="Times New Roman Regular"/>
          <w:color w:val="000000" w:themeColor="text1"/>
          <w:sz w:val="28"/>
          <w:szCs w:val="28"/>
          <w14:textFill>
            <w14:solidFill>
              <w14:schemeClr w14:val="tx1"/>
            </w14:solidFill>
          </w14:textFill>
        </w:rPr>
        <w:t>公众监督</w:t>
      </w:r>
      <w:bookmarkEnd w:id="210"/>
      <w:r>
        <w:rPr>
          <w:rFonts w:ascii="Times New Roman Regular" w:hAnsi="Times New Roman Regular" w:eastAsia="仿宋_GB2312" w:cs="Times New Roman Regular"/>
          <w:color w:val="000000" w:themeColor="text1"/>
          <w:sz w:val="28"/>
          <w:szCs w:val="28"/>
          <w14:textFill>
            <w14:solidFill>
              <w14:schemeClr w14:val="tx1"/>
            </w14:solidFill>
          </w14:textFill>
        </w:rPr>
        <w:t xml:space="preserve"> </w:t>
      </w:r>
    </w:p>
    <w:p w14:paraId="380ED17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11" w:name="_Toc9179"/>
      <w:r>
        <w:rPr>
          <w:rFonts w:ascii="Times New Roman Regular" w:hAnsi="Times New Roman Regular" w:eastAsia="仿宋_GB2312" w:cs="Times New Roman Regular"/>
          <w:color w:val="000000" w:themeColor="text1"/>
          <w:sz w:val="28"/>
          <w:szCs w:val="28"/>
          <w14:textFill>
            <w14:solidFill>
              <w14:schemeClr w14:val="tx1"/>
            </w14:solidFill>
          </w14:textFill>
        </w:rPr>
        <w:t>为了防止公共部门滥用权力，应建立公众监督体系。除涉及国家安全、国家秘密、商业秘密之外的政府采购项目，应全面公开政府采购信息，接受社会公众监督</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。对于运营情况，</w:t>
      </w:r>
      <w:r>
        <w:rPr>
          <w:rFonts w:ascii="Times New Roman Regular" w:hAnsi="Times New Roman Regular" w:eastAsia="仿宋_GB2312" w:cs="Times New Roman Regular"/>
          <w:color w:val="000000" w:themeColor="text1"/>
          <w:sz w:val="28"/>
          <w:szCs w:val="28"/>
          <w14:textFill>
            <w14:solidFill>
              <w14:schemeClr w14:val="tx1"/>
            </w14:solidFill>
          </w14:textFill>
        </w:rPr>
        <w:t>通过投诉及建议渠道，借助网络等多媒体对相关信息与数据进行管理与分析，从而形成双向监督网络。</w:t>
      </w:r>
      <w:bookmarkEnd w:id="211"/>
    </w:p>
    <w:p w14:paraId="2B87D499">
      <w:pPr>
        <w:pStyle w:val="5"/>
      </w:pPr>
      <w:bookmarkStart w:id="212" w:name="_Toc19085"/>
      <w:r>
        <w:t>2、运营评价</w:t>
      </w:r>
      <w:bookmarkEnd w:id="212"/>
    </w:p>
    <w:p w14:paraId="14F3B4CC">
      <w:pPr>
        <w:pStyle w:val="6"/>
      </w:pPr>
      <w:bookmarkStart w:id="213" w:name="_Toc24691"/>
      <w:bookmarkStart w:id="214" w:name="_Toc10297_WPSOffice_Level2"/>
      <w:bookmarkStart w:id="215" w:name="_Toc3080_WPSOffice_Level2"/>
      <w:r>
        <w:t>（1）运营维护及绩效考核内容</w:t>
      </w:r>
      <w:bookmarkEnd w:id="213"/>
      <w:bookmarkEnd w:id="214"/>
      <w:bookmarkEnd w:id="215"/>
    </w:p>
    <w:p w14:paraId="3F0713E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运营期内，项目实施机构或其指定机构按照合同规定及相关法律、法规对项目公司运营维护绩效水平进行考核评分，并将考核结果与服务费的支付挂钩。</w:t>
      </w:r>
    </w:p>
    <w:p w14:paraId="2BE3084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考核内容：运维绩效考核每季度定期进行一次，暂定考核内容主要参考《广东省农村生活污水处理设施运营维护与评价标准》，包括处理质量控制、污水收集系统现场管理、污水处理站点现场管理、生产管理、安全管理及社会综合评价6项。实施机构可根据项目实际情况在合作期进行优化调整。</w:t>
      </w:r>
    </w:p>
    <w:p w14:paraId="0D939F6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此外，每季度实施机构还有权对项目运行情况进行不定期抽查，主要考核处理厂/处理设施是否运行、出水水质是否达标，抽查结果与考核评分挂钩。</w:t>
      </w:r>
    </w:p>
    <w:p w14:paraId="42CD2C66">
      <w:pPr>
        <w:pStyle w:val="6"/>
      </w:pPr>
      <w:r>
        <w:rPr>
          <w:rFonts w:hint="eastAsia"/>
        </w:rPr>
        <w:t>（2）考核结果的应用</w:t>
      </w:r>
    </w:p>
    <w:p w14:paraId="7357BA8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本项目政府付费的支付与运维绩效考核挂钩的具体评价标准为：</w:t>
      </w:r>
    </w:p>
    <w:p w14:paraId="079C24D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1）运维绩效考核评分在8</w:t>
      </w:r>
      <w:r>
        <w:rPr>
          <w:rFonts w:ascii="Times New Roman Regular" w:hAnsi="Times New Roman Regular" w:eastAsia="仿宋_GB2312" w:cs="Times New Roman Regular"/>
          <w:color w:val="000000" w:themeColor="text1"/>
          <w:sz w:val="28"/>
          <w:szCs w:val="28"/>
          <w14:textFill>
            <w14:solidFill>
              <w14:schemeClr w14:val="tx1"/>
            </w14:solidFill>
          </w14:textFill>
        </w:rPr>
        <w:t>5</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分以上（含）的，为优秀，不扣减当期服务费；</w:t>
      </w:r>
    </w:p>
    <w:p w14:paraId="0C3E046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2）考核低于8</w:t>
      </w:r>
      <w:r>
        <w:rPr>
          <w:rFonts w:ascii="Times New Roman Regular" w:hAnsi="Times New Roman Regular" w:eastAsia="仿宋_GB2312" w:cs="Times New Roman Regular"/>
          <w:color w:val="000000" w:themeColor="text1"/>
          <w:sz w:val="28"/>
          <w:szCs w:val="28"/>
          <w14:textFill>
            <w14:solidFill>
              <w14:schemeClr w14:val="tx1"/>
            </w14:solidFill>
          </w14:textFill>
        </w:rPr>
        <w:t>5</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分高于6</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分，为合格，则按以下公式计算当期应扣减的服务费：当期扣减服务费=（8</w:t>
      </w:r>
      <w:r>
        <w:rPr>
          <w:rFonts w:ascii="Times New Roman Regular" w:hAnsi="Times New Roman Regular" w:eastAsia="仿宋_GB2312" w:cs="Times New Roman Regular"/>
          <w:color w:val="000000" w:themeColor="text1"/>
          <w:sz w:val="28"/>
          <w:szCs w:val="28"/>
          <w14:textFill>
            <w14:solidFill>
              <w14:schemeClr w14:val="tx1"/>
            </w14:solidFill>
          </w14:textFill>
        </w:rPr>
        <w:t>5-</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当期评分）/1</w:t>
      </w:r>
      <w:r>
        <w:rPr>
          <w:rFonts w:ascii="Times New Roman Regular" w:hAnsi="Times New Roman Regular" w:eastAsia="仿宋_GB2312" w:cs="Times New Roman Regular"/>
          <w:color w:val="000000" w:themeColor="text1"/>
          <w:sz w:val="28"/>
          <w:szCs w:val="28"/>
          <w14:textFill>
            <w14:solidFill>
              <w14:schemeClr w14:val="tx1"/>
            </w14:solidFill>
          </w14:textFill>
        </w:rPr>
        <w:t>00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×当期应付服务费。</w:t>
      </w:r>
    </w:p>
    <w:p w14:paraId="3E00D67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3）考核低于6</w:t>
      </w:r>
      <w:r>
        <w:rPr>
          <w:rFonts w:ascii="Times New Roman Regular" w:hAnsi="Times New Roman Regular" w:eastAsia="仿宋_GB2312" w:cs="Times New Roman Regular"/>
          <w:color w:val="000000" w:themeColor="text1"/>
          <w:sz w:val="28"/>
          <w:szCs w:val="28"/>
          <w14:textFill>
            <w14:solidFill>
              <w14:schemeClr w14:val="tx1"/>
            </w14:solidFill>
          </w14:textFill>
        </w:rPr>
        <w:t>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分，为不合格，则按以下公式计算当期应扣减的服务费：当期扣减服务费=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25/100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×当期应付服务费</w:t>
      </w:r>
      <w:r>
        <w:rPr>
          <w:rFonts w:ascii="Times New Roman Regular" w:hAnsi="Times New Roman Regular" w:eastAsia="仿宋_GB2312" w:cs="Times New Roman Regular"/>
          <w:color w:val="000000" w:themeColor="text1"/>
          <w:sz w:val="28"/>
          <w:szCs w:val="28"/>
          <w14:textFill>
            <w14:solidFill>
              <w14:schemeClr w14:val="tx1"/>
            </w14:solidFill>
          </w14:textFill>
        </w:rPr>
        <w:t>+</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60-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当期评分）×1</w:t>
      </w:r>
      <w:r>
        <w:rPr>
          <w:rFonts w:ascii="Times New Roman Regular" w:hAnsi="Times New Roman Regular" w:eastAsia="仿宋_GB2312" w:cs="Times New Roman Regular"/>
          <w:color w:val="000000" w:themeColor="text1"/>
          <w:sz w:val="28"/>
          <w:szCs w:val="28"/>
          <w14:textFill>
            <w14:solidFill>
              <w14:schemeClr w14:val="tx1"/>
            </w14:solidFill>
          </w14:textFill>
        </w:rPr>
        <w:t>.25/100</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×当期应付服务费。</w:t>
      </w:r>
    </w:p>
    <w:p w14:paraId="68133D2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无论何种情况，项目公司应及时修复缺陷，否则政府方有权按照特许经营协议约定进行违约处罚。</w:t>
      </w:r>
    </w:p>
    <w:p w14:paraId="20D2E22A">
      <w:pPr>
        <w:pStyle w:val="6"/>
      </w:pPr>
      <w:r>
        <w:rPr>
          <w:rFonts w:hint="eastAsia"/>
        </w:rPr>
        <w:t>（3）绩效考核指标（暂定）</w:t>
      </w:r>
    </w:p>
    <w:p w14:paraId="423AC08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项目具体运维绩效考核指标（暂定）如下表</w:t>
      </w:r>
    </w:p>
    <w:p w14:paraId="6505976D">
      <w:pPr>
        <w:pStyle w:val="17"/>
        <w:widowControl/>
        <w:shd w:val="clear" w:color="auto" w:fill="FFFFFF"/>
        <w:spacing w:beforeAutospacing="0" w:afterAutospacing="0"/>
        <w:ind w:firstLine="562" w:firstLineChars="200"/>
        <w:jc w:val="center"/>
        <w:rPr>
          <w:rFonts w:ascii="Times New Roman Regular" w:hAnsi="Times New Roman Regular" w:eastAsia="仿宋_GB2312" w:cs="Times New Roman Regular"/>
          <w:b/>
          <w:bCs/>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b/>
          <w:bCs/>
          <w:color w:val="000000" w:themeColor="text1"/>
          <w:sz w:val="28"/>
          <w:szCs w:val="28"/>
          <w14:textFill>
            <w14:solidFill>
              <w14:schemeClr w14:val="tx1"/>
            </w14:solidFill>
          </w14:textFill>
        </w:rPr>
        <w:t>表9</w:t>
      </w:r>
      <w:r>
        <w:rPr>
          <w:rFonts w:ascii="Times New Roman Regular" w:hAnsi="Times New Roman Regular" w:eastAsia="仿宋_GB2312" w:cs="Times New Roman Regular"/>
          <w:b/>
          <w:bCs/>
          <w:color w:val="000000" w:themeColor="text1"/>
          <w:sz w:val="28"/>
          <w:szCs w:val="28"/>
          <w14:textFill>
            <w14:solidFill>
              <w14:schemeClr w14:val="tx1"/>
            </w14:solidFill>
          </w14:textFill>
        </w:rPr>
        <w:t>-1</w:t>
      </w:r>
      <w:r>
        <w:rPr>
          <w:rFonts w:hint="eastAsia" w:ascii="Times New Roman Regular" w:hAnsi="Times New Roman Regular" w:eastAsia="仿宋_GB2312" w:cs="Times New Roman Regular"/>
          <w:b/>
          <w:bCs/>
          <w:color w:val="000000" w:themeColor="text1"/>
          <w:sz w:val="28"/>
          <w:szCs w:val="28"/>
          <w14:textFill>
            <w14:solidFill>
              <w14:schemeClr w14:val="tx1"/>
            </w14:solidFill>
          </w14:textFill>
        </w:rPr>
        <w:t>运维绩效考核指标（暂定）</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9"/>
        <w:gridCol w:w="2694"/>
        <w:gridCol w:w="2835"/>
        <w:gridCol w:w="952"/>
      </w:tblGrid>
      <w:tr w14:paraId="079B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40764F6">
            <w:pPr>
              <w:pStyle w:val="17"/>
              <w:widowControl/>
              <w:spacing w:beforeAutospacing="0" w:afterAutospacing="0" w:line="276" w:lineRule="auto"/>
              <w:ind w:firstLine="482"/>
              <w:rPr>
                <w:rFonts w:ascii="仿宋_GB2312" w:hAnsi="Times New Roman Regular" w:eastAsia="仿宋_GB2312" w:cs="Times New Roman Regular"/>
                <w:b/>
                <w:bCs/>
                <w:color w:val="000000" w:themeColor="text1"/>
                <w14:textFill>
                  <w14:solidFill>
                    <w14:schemeClr w14:val="tx1"/>
                  </w14:solidFill>
                </w14:textFill>
              </w:rPr>
            </w:pPr>
            <w:r>
              <w:rPr>
                <w:rFonts w:hint="eastAsia" w:ascii="仿宋_GB2312" w:hAnsi="Times New Roman Regular" w:eastAsia="仿宋_GB2312" w:cs="Times New Roman Regular"/>
                <w:b/>
                <w:bCs/>
                <w:color w:val="000000" w:themeColor="text1"/>
                <w14:textFill>
                  <w14:solidFill>
                    <w14:schemeClr w14:val="tx1"/>
                  </w14:solidFill>
                </w14:textFill>
              </w:rPr>
              <w:t>评价项目</w:t>
            </w:r>
          </w:p>
        </w:tc>
        <w:tc>
          <w:tcPr>
            <w:tcW w:w="1559" w:type="dxa"/>
            <w:vAlign w:val="center"/>
          </w:tcPr>
          <w:p w14:paraId="3AB9128D">
            <w:pPr>
              <w:pStyle w:val="17"/>
              <w:widowControl/>
              <w:spacing w:beforeAutospacing="0" w:afterAutospacing="0" w:line="276" w:lineRule="auto"/>
              <w:rPr>
                <w:rFonts w:ascii="仿宋_GB2312" w:hAnsi="Times New Roman Regular" w:eastAsia="仿宋_GB2312" w:cs="Times New Roman Regular"/>
                <w:b/>
                <w:bCs/>
                <w:color w:val="000000" w:themeColor="text1"/>
                <w14:textFill>
                  <w14:solidFill>
                    <w14:schemeClr w14:val="tx1"/>
                  </w14:solidFill>
                </w14:textFill>
              </w:rPr>
            </w:pPr>
            <w:r>
              <w:rPr>
                <w:rFonts w:hint="eastAsia" w:ascii="仿宋_GB2312" w:hAnsi="Times New Roman Regular" w:eastAsia="仿宋_GB2312" w:cs="Times New Roman Regular"/>
                <w:b/>
                <w:bCs/>
                <w:color w:val="000000" w:themeColor="text1"/>
                <w14:textFill>
                  <w14:solidFill>
                    <w14:schemeClr w14:val="tx1"/>
                  </w14:solidFill>
                </w14:textFill>
              </w:rPr>
              <w:t>检查项目</w:t>
            </w:r>
          </w:p>
        </w:tc>
        <w:tc>
          <w:tcPr>
            <w:tcW w:w="2694" w:type="dxa"/>
            <w:vAlign w:val="center"/>
          </w:tcPr>
          <w:p w14:paraId="69097540">
            <w:pPr>
              <w:pStyle w:val="17"/>
              <w:widowControl/>
              <w:spacing w:beforeAutospacing="0" w:afterAutospacing="0" w:line="276" w:lineRule="auto"/>
              <w:ind w:firstLine="482"/>
              <w:rPr>
                <w:rFonts w:ascii="仿宋_GB2312" w:hAnsi="Times New Roman Regular" w:eastAsia="仿宋_GB2312" w:cs="Times New Roman Regular"/>
                <w:b/>
                <w:bCs/>
                <w:color w:val="000000" w:themeColor="text1"/>
                <w14:textFill>
                  <w14:solidFill>
                    <w14:schemeClr w14:val="tx1"/>
                  </w14:solidFill>
                </w14:textFill>
              </w:rPr>
            </w:pPr>
            <w:r>
              <w:rPr>
                <w:rFonts w:hint="eastAsia" w:ascii="仿宋_GB2312" w:hAnsi="Times New Roman Regular" w:eastAsia="仿宋_GB2312" w:cs="Times New Roman Regular"/>
                <w:b/>
                <w:bCs/>
                <w:color w:val="000000" w:themeColor="text1"/>
                <w14:textFill>
                  <w14:solidFill>
                    <w14:schemeClr w14:val="tx1"/>
                  </w14:solidFill>
                </w14:textFill>
              </w:rPr>
              <w:t>运行质量要求</w:t>
            </w:r>
          </w:p>
        </w:tc>
        <w:tc>
          <w:tcPr>
            <w:tcW w:w="2835" w:type="dxa"/>
            <w:vAlign w:val="center"/>
          </w:tcPr>
          <w:p w14:paraId="2AE403C6">
            <w:pPr>
              <w:pStyle w:val="17"/>
              <w:widowControl/>
              <w:spacing w:beforeAutospacing="0" w:afterAutospacing="0" w:line="276" w:lineRule="auto"/>
              <w:ind w:firstLine="482"/>
              <w:rPr>
                <w:rFonts w:ascii="仿宋_GB2312" w:hAnsi="Times New Roman Regular" w:eastAsia="仿宋_GB2312" w:cs="Times New Roman Regular"/>
                <w:b/>
                <w:bCs/>
                <w:color w:val="000000" w:themeColor="text1"/>
                <w14:textFill>
                  <w14:solidFill>
                    <w14:schemeClr w14:val="tx1"/>
                  </w14:solidFill>
                </w14:textFill>
              </w:rPr>
            </w:pPr>
            <w:r>
              <w:rPr>
                <w:rFonts w:hint="eastAsia" w:ascii="仿宋_GB2312" w:hAnsi="Times New Roman Regular" w:eastAsia="仿宋_GB2312" w:cs="Times New Roman Regular"/>
                <w:b/>
                <w:bCs/>
                <w:color w:val="000000" w:themeColor="text1"/>
                <w14:textFill>
                  <w14:solidFill>
                    <w14:schemeClr w14:val="tx1"/>
                  </w14:solidFill>
                </w14:textFill>
              </w:rPr>
              <w:t>评分标准</w:t>
            </w:r>
          </w:p>
        </w:tc>
        <w:tc>
          <w:tcPr>
            <w:tcW w:w="952" w:type="dxa"/>
            <w:vAlign w:val="center"/>
          </w:tcPr>
          <w:p w14:paraId="08718F83">
            <w:pPr>
              <w:pStyle w:val="17"/>
              <w:widowControl/>
              <w:spacing w:beforeAutospacing="0" w:afterAutospacing="0" w:line="276" w:lineRule="auto"/>
              <w:rPr>
                <w:rFonts w:ascii="仿宋_GB2312" w:hAnsi="Times New Roman Regular" w:eastAsia="仿宋_GB2312" w:cs="Times New Roman Regular"/>
                <w:b/>
                <w:bCs/>
                <w:color w:val="000000" w:themeColor="text1"/>
                <w14:textFill>
                  <w14:solidFill>
                    <w14:schemeClr w14:val="tx1"/>
                  </w14:solidFill>
                </w14:textFill>
              </w:rPr>
            </w:pPr>
            <w:r>
              <w:rPr>
                <w:rFonts w:hint="eastAsia" w:ascii="仿宋_GB2312" w:hAnsi="Times New Roman Regular" w:eastAsia="仿宋_GB2312" w:cs="Times New Roman Regular"/>
                <w:b/>
                <w:bCs/>
                <w:color w:val="000000" w:themeColor="text1"/>
                <w14:textFill>
                  <w14:solidFill>
                    <w14:schemeClr w14:val="tx1"/>
                  </w14:solidFill>
                </w14:textFill>
              </w:rPr>
              <w:t>分值</w:t>
            </w:r>
          </w:p>
        </w:tc>
      </w:tr>
      <w:tr w14:paraId="00D9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6911DDE6">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处理质量控制</w:t>
            </w:r>
            <w:r>
              <w:rPr>
                <w:rFonts w:ascii="仿宋_GB2312" w:hAnsi="Times New Roman Regular" w:eastAsia="仿宋_GB2312" w:cs="Times New Roman Regular"/>
                <w:color w:val="000000" w:themeColor="text1"/>
                <w14:textFill>
                  <w14:solidFill>
                    <w14:schemeClr w14:val="tx1"/>
                  </w14:solidFill>
                </w14:textFill>
              </w:rPr>
              <w:t>(20</w:t>
            </w:r>
            <w:r>
              <w:rPr>
                <w:rFonts w:hint="eastAsia" w:ascii="仿宋_GB2312" w:hAnsi="Times New Roman Regular" w:eastAsia="仿宋_GB2312" w:cs="Times New Roman Regular"/>
                <w:color w:val="000000" w:themeColor="text1"/>
                <w14:textFill>
                  <w14:solidFill>
                    <w14:schemeClr w14:val="tx1"/>
                  </w14:solidFill>
                </w14:textFill>
              </w:rPr>
              <w:t>分)</w:t>
            </w:r>
          </w:p>
        </w:tc>
        <w:tc>
          <w:tcPr>
            <w:tcW w:w="1559" w:type="dxa"/>
            <w:vAlign w:val="center"/>
          </w:tcPr>
          <w:p w14:paraId="6D7ABF8E">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出水水质指标</w:t>
            </w:r>
          </w:p>
        </w:tc>
        <w:tc>
          <w:tcPr>
            <w:tcW w:w="2694" w:type="dxa"/>
            <w:vAlign w:val="center"/>
          </w:tcPr>
          <w:p w14:paraId="1913A638">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处理设施出水的水质指标应符合国家和广东省现行相关标准的要求</w:t>
            </w:r>
          </w:p>
        </w:tc>
        <w:tc>
          <w:tcPr>
            <w:tcW w:w="2835" w:type="dxa"/>
            <w:vAlign w:val="center"/>
          </w:tcPr>
          <w:p w14:paraId="7735CD17">
            <w:pPr>
              <w:pStyle w:val="17"/>
              <w:widowControl/>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(1)COD或氨氮指标不达标,一次扣</w:t>
            </w:r>
            <w:r>
              <w:rPr>
                <w:rFonts w:ascii="仿宋_GB2312" w:hAnsi="Times New Roman Regular" w:eastAsia="仿宋_GB2312" w:cs="Times New Roman Regular"/>
                <w:color w:val="000000" w:themeColor="text1"/>
                <w14:textFill>
                  <w14:solidFill>
                    <w14:schemeClr w14:val="tx1"/>
                  </w14:solidFill>
                </w14:textFill>
              </w:rPr>
              <w:t>5</w:t>
            </w:r>
            <w:r>
              <w:rPr>
                <w:rFonts w:hint="eastAsia" w:ascii="仿宋_GB2312" w:hAnsi="Times New Roman Regular" w:eastAsia="仿宋_GB2312" w:cs="Times New Roman Regular"/>
                <w:color w:val="000000" w:themeColor="text1"/>
                <w14:textFill>
                  <w14:solidFill>
                    <w14:schemeClr w14:val="tx1"/>
                  </w14:solidFill>
                </w14:textFill>
              </w:rPr>
              <w:t>分;其他出水指标不达标,每项扣</w:t>
            </w:r>
            <w:r>
              <w:rPr>
                <w:rFonts w:ascii="仿宋_GB2312" w:hAnsi="Times New Roman Regular" w:eastAsia="仿宋_GB2312" w:cs="Times New Roman Regular"/>
                <w:color w:val="000000" w:themeColor="text1"/>
                <w14:textFill>
                  <w14:solidFill>
                    <w14:schemeClr w14:val="tx1"/>
                  </w14:solidFill>
                </w14:textFill>
              </w:rPr>
              <w:t>1</w:t>
            </w:r>
            <w:r>
              <w:rPr>
                <w:rFonts w:hint="eastAsia" w:ascii="仿宋_GB2312" w:hAnsi="Times New Roman Regular" w:eastAsia="仿宋_GB2312" w:cs="Times New Roman Regular"/>
                <w:color w:val="000000" w:themeColor="text1"/>
                <w14:textFill>
                  <w14:solidFill>
                    <w14:schemeClr w14:val="tx1"/>
                  </w14:solidFill>
                </w14:textFill>
              </w:rPr>
              <w:t>分。</w:t>
            </w:r>
          </w:p>
          <w:p w14:paraId="21DC8118">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(2)进水水质超出设计值造成的出水水质超标不扣分</w:t>
            </w:r>
          </w:p>
        </w:tc>
        <w:tc>
          <w:tcPr>
            <w:tcW w:w="952" w:type="dxa"/>
            <w:vAlign w:val="center"/>
          </w:tcPr>
          <w:p w14:paraId="23514BE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15</w:t>
            </w:r>
          </w:p>
        </w:tc>
      </w:tr>
      <w:tr w14:paraId="61EA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239F528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Align w:val="center"/>
          </w:tcPr>
          <w:p w14:paraId="322D2776">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污泥处理处置</w:t>
            </w:r>
          </w:p>
        </w:tc>
        <w:tc>
          <w:tcPr>
            <w:tcW w:w="2694" w:type="dxa"/>
            <w:vAlign w:val="center"/>
          </w:tcPr>
          <w:p w14:paraId="094F9DDE">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污泥有妥善处理处置措施，无乱堆乱放</w:t>
            </w:r>
          </w:p>
        </w:tc>
        <w:tc>
          <w:tcPr>
            <w:tcW w:w="2835" w:type="dxa"/>
            <w:vAlign w:val="center"/>
          </w:tcPr>
          <w:p w14:paraId="4E680E20">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产生的污泥去向不明，扣5</w:t>
            </w:r>
            <w:r>
              <w:rPr>
                <w:rFonts w:ascii="仿宋_GB2312" w:hAnsi="Times New Roman Regular" w:eastAsia="仿宋_GB2312" w:cs="Times New Roman Regular"/>
                <w:color w:val="000000" w:themeColor="text1"/>
                <w14:textFill>
                  <w14:solidFill>
                    <w14:schemeClr w14:val="tx1"/>
                  </w14:solidFill>
                </w14:textFill>
              </w:rPr>
              <w:t xml:space="preserve"> </w:t>
            </w:r>
            <w:r>
              <w:rPr>
                <w:rFonts w:hint="eastAsia" w:ascii="仿宋_GB2312" w:hAnsi="Times New Roman Regular" w:eastAsia="仿宋_GB2312" w:cs="Times New Roman Regular"/>
                <w:color w:val="000000" w:themeColor="text1"/>
                <w14:textFill>
                  <w14:solidFill>
                    <w14:schemeClr w14:val="tx1"/>
                  </w14:solidFill>
                </w14:textFill>
              </w:rPr>
              <w:t>分</w:t>
            </w:r>
          </w:p>
        </w:tc>
        <w:tc>
          <w:tcPr>
            <w:tcW w:w="952" w:type="dxa"/>
            <w:vAlign w:val="center"/>
          </w:tcPr>
          <w:p w14:paraId="08F2B3DD">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5</w:t>
            </w:r>
          </w:p>
        </w:tc>
      </w:tr>
      <w:tr w14:paraId="2A5E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672D6F86">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污水收集系统现场管理</w:t>
            </w:r>
            <w:r>
              <w:rPr>
                <w:rFonts w:ascii="仿宋_GB2312" w:hAnsi="Times New Roman Regular" w:eastAsia="仿宋_GB2312" w:cs="Times New Roman Regular"/>
                <w:color w:val="000000" w:themeColor="text1"/>
                <w14:textFill>
                  <w14:solidFill>
                    <w14:schemeClr w14:val="tx1"/>
                  </w14:solidFill>
                </w14:textFill>
              </w:rPr>
              <w:t>(10</w:t>
            </w:r>
            <w:r>
              <w:rPr>
                <w:rFonts w:hint="eastAsia" w:ascii="仿宋_GB2312" w:hAnsi="Times New Roman Regular" w:eastAsia="仿宋_GB2312" w:cs="Times New Roman Regular"/>
                <w:color w:val="000000" w:themeColor="text1"/>
                <w14:textFill>
                  <w14:solidFill>
                    <w14:schemeClr w14:val="tx1"/>
                  </w14:solidFill>
                </w14:textFill>
              </w:rPr>
              <w:t>分)</w:t>
            </w:r>
          </w:p>
        </w:tc>
        <w:tc>
          <w:tcPr>
            <w:tcW w:w="1559" w:type="dxa"/>
            <w:vAlign w:val="center"/>
          </w:tcPr>
          <w:p w14:paraId="551C57FF">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管道和检查井</w:t>
            </w:r>
          </w:p>
        </w:tc>
        <w:tc>
          <w:tcPr>
            <w:tcW w:w="2694" w:type="dxa"/>
            <w:vAlign w:val="center"/>
          </w:tcPr>
          <w:p w14:paraId="3B68B631">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定期检查污水收集管道及检查井,清理淤积物;及时修复已损坏或堵塞的管渠和检查井,保持过流通畅</w:t>
            </w:r>
          </w:p>
        </w:tc>
        <w:tc>
          <w:tcPr>
            <w:tcW w:w="2835" w:type="dxa"/>
            <w:vAlign w:val="center"/>
          </w:tcPr>
          <w:p w14:paraId="3B224680">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抽查5个井段，污水收集管道未及时清淤清渣，管道或检查井破损未及时修复，上述情况每发现一处扣</w:t>
            </w:r>
            <w:r>
              <w:rPr>
                <w:rFonts w:ascii="仿宋_GB2312" w:hAnsi="Times New Roman Regular" w:eastAsia="仿宋_GB2312" w:cs="Times New Roman Regular"/>
                <w:color w:val="000000" w:themeColor="text1"/>
                <w14:textFill>
                  <w14:solidFill>
                    <w14:schemeClr w14:val="tx1"/>
                  </w14:solidFill>
                </w14:textFill>
              </w:rPr>
              <w:t>1</w:t>
            </w:r>
            <w:r>
              <w:rPr>
                <w:rFonts w:hint="eastAsia" w:ascii="仿宋_GB2312" w:hAnsi="Times New Roman Regular" w:eastAsia="仿宋_GB2312" w:cs="Times New Roman Regular"/>
                <w:color w:val="000000" w:themeColor="text1"/>
                <w14:textFill>
                  <w14:solidFill>
                    <w14:schemeClr w14:val="tx1"/>
                  </w14:solidFill>
                </w14:textFill>
              </w:rPr>
              <w:t>分</w:t>
            </w:r>
          </w:p>
        </w:tc>
        <w:tc>
          <w:tcPr>
            <w:tcW w:w="952" w:type="dxa"/>
            <w:vAlign w:val="center"/>
          </w:tcPr>
          <w:p w14:paraId="2CF76807">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5</w:t>
            </w:r>
          </w:p>
        </w:tc>
      </w:tr>
      <w:tr w14:paraId="018F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0DDEB112">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Align w:val="center"/>
          </w:tcPr>
          <w:p w14:paraId="333BAC92">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井盖等附属设施</w:t>
            </w:r>
          </w:p>
        </w:tc>
        <w:tc>
          <w:tcPr>
            <w:tcW w:w="2694" w:type="dxa"/>
            <w:vAlign w:val="center"/>
          </w:tcPr>
          <w:p w14:paraId="13583D40">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及时更换或修复已损坏的井环盖或溢流管口,保证检查井的完整性和安全性</w:t>
            </w:r>
          </w:p>
        </w:tc>
        <w:tc>
          <w:tcPr>
            <w:tcW w:w="2835" w:type="dxa"/>
            <w:vAlign w:val="center"/>
          </w:tcPr>
          <w:p w14:paraId="3B327C6B">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抽查5个井段,井盖等附属设施损毁、缺失的,每发现一处扣1分</w:t>
            </w:r>
          </w:p>
        </w:tc>
        <w:tc>
          <w:tcPr>
            <w:tcW w:w="952" w:type="dxa"/>
            <w:vAlign w:val="center"/>
          </w:tcPr>
          <w:p w14:paraId="1ADBE93E">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5</w:t>
            </w:r>
          </w:p>
        </w:tc>
      </w:tr>
      <w:tr w14:paraId="0FC6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017525C2">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污水处理站点现场管理(20分)</w:t>
            </w:r>
          </w:p>
        </w:tc>
        <w:tc>
          <w:tcPr>
            <w:tcW w:w="1559" w:type="dxa"/>
            <w:vAlign w:val="center"/>
          </w:tcPr>
          <w:p w14:paraId="0636365C">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环境卫生</w:t>
            </w:r>
            <w:r>
              <w:rPr>
                <w:rFonts w:ascii="仿宋_GB2312" w:hAnsi="Times New Roman Regular" w:eastAsia="仿宋_GB2312" w:cs="Times New Roman Regular"/>
                <w:color w:val="000000" w:themeColor="text1"/>
                <w14:textFill>
                  <w14:solidFill>
                    <w14:schemeClr w14:val="tx1"/>
                  </w14:solidFill>
                </w14:textFill>
              </w:rPr>
              <w:tab/>
            </w:r>
          </w:p>
        </w:tc>
        <w:tc>
          <w:tcPr>
            <w:tcW w:w="2694" w:type="dxa"/>
            <w:vAlign w:val="center"/>
          </w:tcPr>
          <w:p w14:paraId="68D00CD8">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保持站点环境整洁、美观、卫生</w:t>
            </w:r>
          </w:p>
        </w:tc>
        <w:tc>
          <w:tcPr>
            <w:tcW w:w="2835" w:type="dxa"/>
            <w:vAlign w:val="center"/>
          </w:tcPr>
          <w:p w14:paraId="1089AC7C">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站点范围内有杂物、垃圾堆积或积水的,扣1分;站点杂草丛生、未加清理的,扣1分</w:t>
            </w:r>
          </w:p>
        </w:tc>
        <w:tc>
          <w:tcPr>
            <w:tcW w:w="952" w:type="dxa"/>
            <w:vAlign w:val="center"/>
          </w:tcPr>
          <w:p w14:paraId="0CAACEA4">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2</w:t>
            </w:r>
          </w:p>
        </w:tc>
      </w:tr>
      <w:tr w14:paraId="4168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401B9F5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Merge w:val="restart"/>
            <w:vAlign w:val="center"/>
          </w:tcPr>
          <w:p w14:paraId="7EBC0D96">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预处理设施</w:t>
            </w:r>
          </w:p>
        </w:tc>
        <w:tc>
          <w:tcPr>
            <w:tcW w:w="2694" w:type="dxa"/>
            <w:vMerge w:val="restart"/>
            <w:vAlign w:val="center"/>
          </w:tcPr>
          <w:p w14:paraId="0F623CEA">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预处理设施工作正常.维护得力:定期清理预处理设施，防止泥沙淤积、垃圾堆积,影响设施正常运作</w:t>
            </w:r>
          </w:p>
        </w:tc>
        <w:tc>
          <w:tcPr>
            <w:tcW w:w="2835" w:type="dxa"/>
            <w:vAlign w:val="center"/>
          </w:tcPr>
          <w:p w14:paraId="46C79594">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格栅工作正常,栅渣适量,过水通畅。如发现格栅故障扣1分,栅渣过多影响过水扣1分</w:t>
            </w:r>
          </w:p>
        </w:tc>
        <w:tc>
          <w:tcPr>
            <w:tcW w:w="952" w:type="dxa"/>
            <w:vAlign w:val="center"/>
          </w:tcPr>
          <w:p w14:paraId="71C22DEC">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2</w:t>
            </w:r>
          </w:p>
        </w:tc>
      </w:tr>
      <w:tr w14:paraId="2A69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26ABE841">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Merge w:val="continue"/>
            <w:vAlign w:val="center"/>
          </w:tcPr>
          <w:p w14:paraId="2BF9C9F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2694" w:type="dxa"/>
            <w:vMerge w:val="continue"/>
            <w:vAlign w:val="center"/>
          </w:tcPr>
          <w:p w14:paraId="28C53BEE">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2835" w:type="dxa"/>
            <w:vAlign w:val="center"/>
          </w:tcPr>
          <w:p w14:paraId="3198EC55">
            <w:pPr>
              <w:pStyle w:val="17"/>
              <w:widowControl/>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各预处理设施盖板完好,无破损缺失,池体无渗漏开裂，无淤积堵塞、水位正常。如发盖板存在破损缺失情况的扣1分,池体存在渗漏开裂未及时修复或出现</w:t>
            </w:r>
            <w:r>
              <w:rPr>
                <w:rFonts w:ascii="仿宋_GB2312" w:hAnsi="Times New Roman Regular" w:eastAsia="仿宋_GB2312" w:cs="Times New Roman Regular"/>
                <w:color w:val="000000" w:themeColor="text1"/>
                <w14:textFill>
                  <w14:solidFill>
                    <w14:schemeClr w14:val="tx1"/>
                  </w14:solidFill>
                </w14:textFill>
              </w:rPr>
              <w:tab/>
            </w:r>
            <w:r>
              <w:rPr>
                <w:rFonts w:hint="eastAsia" w:ascii="仿宋_GB2312" w:hAnsi="Times New Roman Regular" w:eastAsia="仿宋_GB2312" w:cs="Times New Roman Regular"/>
                <w:color w:val="000000" w:themeColor="text1"/>
                <w14:textFill>
                  <w14:solidFill>
                    <w14:schemeClr w14:val="tx1"/>
                  </w14:solidFill>
                </w14:textFill>
              </w:rPr>
              <w:t>淤积堵塞情况的扣1分</w:t>
            </w:r>
          </w:p>
        </w:tc>
        <w:tc>
          <w:tcPr>
            <w:tcW w:w="952" w:type="dxa"/>
            <w:vAlign w:val="center"/>
          </w:tcPr>
          <w:p w14:paraId="52AF4EAC">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2</w:t>
            </w:r>
          </w:p>
        </w:tc>
      </w:tr>
      <w:tr w14:paraId="63C6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654DA55A">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Merge w:val="restart"/>
            <w:vAlign w:val="center"/>
          </w:tcPr>
          <w:p w14:paraId="6ECD6521">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主体处理设施</w:t>
            </w:r>
          </w:p>
        </w:tc>
        <w:tc>
          <w:tcPr>
            <w:tcW w:w="2694" w:type="dxa"/>
            <w:vAlign w:val="center"/>
          </w:tcPr>
          <w:p w14:paraId="58AD915B">
            <w:pPr>
              <w:pStyle w:val="17"/>
              <w:widowControl/>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主体处理设施(或一体化设备)</w:t>
            </w:r>
            <w:r>
              <w:rPr>
                <w:rFonts w:ascii="仿宋_GB2312" w:hAnsi="Times New Roman Regular" w:eastAsia="仿宋_GB2312" w:cs="Times New Roman Regular"/>
                <w:color w:val="000000" w:themeColor="text1"/>
                <w14:textFill>
                  <w14:solidFill>
                    <w14:schemeClr w14:val="tx1"/>
                  </w14:solidFill>
                </w14:textFill>
              </w:rPr>
              <w:t xml:space="preserve"> </w:t>
            </w:r>
            <w:r>
              <w:rPr>
                <w:rFonts w:hint="eastAsia" w:ascii="仿宋_GB2312" w:hAnsi="Times New Roman Regular" w:eastAsia="仿宋_GB2312" w:cs="Times New Roman Regular"/>
                <w:color w:val="000000" w:themeColor="text1"/>
                <w14:textFill>
                  <w14:solidFill>
                    <w14:schemeClr w14:val="tx1"/>
                  </w14:solidFill>
                </w14:textFill>
              </w:rPr>
              <w:t>工作正常，</w:t>
            </w:r>
            <w:r>
              <w:rPr>
                <w:rFonts w:ascii="仿宋_GB2312" w:hAnsi="Times New Roman Regular" w:eastAsia="仿宋_GB2312" w:cs="Times New Roman Regular"/>
                <w:color w:val="000000" w:themeColor="text1"/>
                <w14:textFill>
                  <w14:solidFill>
                    <w14:schemeClr w14:val="tx1"/>
                  </w14:solidFill>
                </w14:textFill>
              </w:rPr>
              <w:t xml:space="preserve"> </w:t>
            </w:r>
            <w:r>
              <w:rPr>
                <w:rFonts w:hint="eastAsia" w:ascii="仿宋_GB2312" w:hAnsi="Times New Roman Regular" w:eastAsia="仿宋_GB2312" w:cs="Times New Roman Regular"/>
                <w:color w:val="000000" w:themeColor="text1"/>
                <w14:textFill>
                  <w14:solidFill>
                    <w14:schemeClr w14:val="tx1"/>
                  </w14:solidFill>
                </w14:textFill>
              </w:rPr>
              <w:t>主体结构无渗漏、开裂、</w:t>
            </w:r>
            <w:bookmarkStart w:id="216" w:name="OLE_LINK5"/>
            <w:bookmarkStart w:id="217" w:name="OLE_LINK6"/>
            <w:r>
              <w:rPr>
                <w:rFonts w:hint="eastAsia" w:ascii="仿宋_GB2312" w:hAnsi="Times New Roman Regular" w:eastAsia="仿宋_GB2312" w:cs="Times New Roman Regular"/>
                <w:color w:val="000000" w:themeColor="text1"/>
                <w14:textFill>
                  <w14:solidFill>
                    <w14:schemeClr w14:val="tx1"/>
                  </w14:solidFill>
                </w14:textFill>
              </w:rPr>
              <w:t>锈蚀穿孔</w:t>
            </w:r>
            <w:bookmarkEnd w:id="216"/>
            <w:bookmarkEnd w:id="217"/>
          </w:p>
        </w:tc>
        <w:tc>
          <w:tcPr>
            <w:tcW w:w="2835" w:type="dxa"/>
            <w:vAlign w:val="center"/>
          </w:tcPr>
          <w:p w14:paraId="15AE3F54">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主体结构存在渗漏、</w:t>
            </w:r>
            <w:bookmarkStart w:id="218" w:name="OLE_LINK3"/>
            <w:bookmarkStart w:id="219" w:name="OLE_LINK4"/>
            <w:r>
              <w:rPr>
                <w:rFonts w:hint="eastAsia" w:ascii="仿宋_GB2312" w:hAnsi="Times New Roman Regular" w:eastAsia="仿宋_GB2312" w:cs="Times New Roman Regular"/>
                <w:color w:val="000000" w:themeColor="text1"/>
                <w14:textFill>
                  <w14:solidFill>
                    <w14:schemeClr w14:val="tx1"/>
                  </w14:solidFill>
                </w14:textFill>
              </w:rPr>
              <w:t>开裂</w:t>
            </w:r>
            <w:bookmarkEnd w:id="218"/>
            <w:bookmarkEnd w:id="219"/>
            <w:r>
              <w:rPr>
                <w:rFonts w:hint="eastAsia" w:ascii="仿宋_GB2312" w:hAnsi="Times New Roman Regular" w:eastAsia="仿宋_GB2312" w:cs="Times New Roman Regular"/>
                <w:color w:val="000000" w:themeColor="text1"/>
                <w14:textFill>
                  <w14:solidFill>
                    <w14:schemeClr w14:val="tx1"/>
                  </w14:solidFill>
                </w14:textFill>
              </w:rPr>
              <w:t>、锈蚀穿孔情况的,每发现一处1分</w:t>
            </w:r>
          </w:p>
        </w:tc>
        <w:tc>
          <w:tcPr>
            <w:tcW w:w="952" w:type="dxa"/>
            <w:vAlign w:val="center"/>
          </w:tcPr>
          <w:p w14:paraId="58C0493D">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2</w:t>
            </w:r>
          </w:p>
        </w:tc>
      </w:tr>
      <w:tr w14:paraId="4E7E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51C165F6">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Merge w:val="continue"/>
            <w:vAlign w:val="center"/>
          </w:tcPr>
          <w:p w14:paraId="0371743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2694" w:type="dxa"/>
            <w:vAlign w:val="center"/>
          </w:tcPr>
          <w:p w14:paraId="3283763C">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工艺设备及仪表运行正常,生化系统填料良好,挂膜良好,或人工湿地植被生长好、收割及时,无大面积倒伏或枯萎</w:t>
            </w:r>
          </w:p>
        </w:tc>
        <w:tc>
          <w:tcPr>
            <w:tcW w:w="2835" w:type="dxa"/>
            <w:vAlign w:val="center"/>
          </w:tcPr>
          <w:p w14:paraId="785BADFD">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工艺设备及仪表故障未及时处理修复的扣2分,</w:t>
            </w:r>
            <w:r>
              <w:rPr>
                <w:rFonts w:ascii="仿宋_GB2312" w:eastAsia="仿宋_GB2312"/>
              </w:rPr>
              <w:t xml:space="preserve"> </w:t>
            </w:r>
            <w:r>
              <w:rPr>
                <w:rFonts w:hint="eastAsia" w:ascii="仿宋_GB2312" w:hAnsi="Times New Roman Regular" w:eastAsia="仿宋_GB2312" w:cs="Times New Roman Regular"/>
                <w:color w:val="000000" w:themeColor="text1"/>
                <w14:textFill>
                  <w14:solidFill>
                    <w14:schemeClr w14:val="tx1"/>
                  </w14:solidFill>
                </w14:textFill>
              </w:rPr>
              <w:t>填料破损、掉落或人工湿地植被未及</w:t>
            </w:r>
            <w:r>
              <w:rPr>
                <w:rFonts w:ascii="仿宋_GB2312" w:hAnsi="Times New Roman Regular" w:eastAsia="仿宋_GB2312" w:cs="Times New Roman Regular"/>
                <w:color w:val="000000" w:themeColor="text1"/>
                <w14:textFill>
                  <w14:solidFill>
                    <w14:schemeClr w14:val="tx1"/>
                  </w14:solidFill>
                </w14:textFill>
              </w:rPr>
              <w:tab/>
            </w:r>
            <w:r>
              <w:rPr>
                <w:rFonts w:hint="eastAsia" w:ascii="仿宋_GB2312" w:hAnsi="Times New Roman Regular" w:eastAsia="仿宋_GB2312" w:cs="Times New Roman Regular"/>
                <w:color w:val="000000" w:themeColor="text1"/>
                <w14:textFill>
                  <w14:solidFill>
                    <w14:schemeClr w14:val="tx1"/>
                  </w14:solidFill>
                </w14:textFill>
              </w:rPr>
              <w:t>时收割、大面积倒伏、枯萎的，扣3分</w:t>
            </w:r>
          </w:p>
        </w:tc>
        <w:tc>
          <w:tcPr>
            <w:tcW w:w="952" w:type="dxa"/>
            <w:vAlign w:val="center"/>
          </w:tcPr>
          <w:p w14:paraId="702ECD1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5</w:t>
            </w:r>
          </w:p>
        </w:tc>
      </w:tr>
      <w:tr w14:paraId="2232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5C345389">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Merge w:val="continue"/>
            <w:vAlign w:val="center"/>
          </w:tcPr>
          <w:p w14:paraId="5E758A55">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2694" w:type="dxa"/>
            <w:vAlign w:val="center"/>
          </w:tcPr>
          <w:p w14:paraId="5E48B75E">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设备和仪表定期检查保养，运行维护符合规程</w:t>
            </w:r>
          </w:p>
        </w:tc>
        <w:tc>
          <w:tcPr>
            <w:tcW w:w="2835" w:type="dxa"/>
            <w:vAlign w:val="center"/>
          </w:tcPr>
          <w:p w14:paraId="26AF7ED8">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抽查维保记录,未能按要求定期维护保养设备仪表的,</w:t>
            </w:r>
            <w:r>
              <w:rPr>
                <w:rFonts w:hint="eastAsia" w:ascii="仿宋_GB2312" w:eastAsia="仿宋_GB2312"/>
              </w:rPr>
              <w:t xml:space="preserve"> 扣</w:t>
            </w:r>
            <w:r>
              <w:rPr>
                <w:rFonts w:hint="eastAsia" w:ascii="仿宋_GB2312" w:hAnsi="Times New Roman Regular" w:eastAsia="仿宋_GB2312" w:cs="Times New Roman Regular"/>
                <w:color w:val="000000" w:themeColor="text1"/>
                <w14:textFill>
                  <w14:solidFill>
                    <w14:schemeClr w14:val="tx1"/>
                  </w14:solidFill>
                </w14:textFill>
              </w:rPr>
              <w:t>3分；现场操作违反操作规程，</w:t>
            </w:r>
            <w:r>
              <w:rPr>
                <w:rFonts w:hint="eastAsia" w:ascii="仿宋_GB2312" w:eastAsia="仿宋_GB2312"/>
              </w:rPr>
              <w:t>扣2分</w:t>
            </w:r>
          </w:p>
        </w:tc>
        <w:tc>
          <w:tcPr>
            <w:tcW w:w="952" w:type="dxa"/>
            <w:vAlign w:val="center"/>
          </w:tcPr>
          <w:p w14:paraId="35A1FB50">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5</w:t>
            </w:r>
          </w:p>
        </w:tc>
      </w:tr>
      <w:tr w14:paraId="69AC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751E7469">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Merge w:val="continue"/>
            <w:vAlign w:val="center"/>
          </w:tcPr>
          <w:p w14:paraId="2C64E73E">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2694" w:type="dxa"/>
            <w:vAlign w:val="center"/>
          </w:tcPr>
          <w:p w14:paraId="3607FC2F">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排放口标识清晰,无破损</w:t>
            </w:r>
          </w:p>
        </w:tc>
        <w:tc>
          <w:tcPr>
            <w:tcW w:w="2835" w:type="dxa"/>
            <w:vAlign w:val="center"/>
          </w:tcPr>
          <w:p w14:paraId="6B625590">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排放口标识有不清晰或破损的情况,扣2分</w:t>
            </w:r>
          </w:p>
        </w:tc>
        <w:tc>
          <w:tcPr>
            <w:tcW w:w="952" w:type="dxa"/>
            <w:vAlign w:val="center"/>
          </w:tcPr>
          <w:p w14:paraId="367961E2">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2</w:t>
            </w:r>
          </w:p>
        </w:tc>
      </w:tr>
      <w:tr w14:paraId="7448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3FCE6861">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生产管理（1</w:t>
            </w:r>
            <w:r>
              <w:rPr>
                <w:rFonts w:ascii="仿宋_GB2312" w:hAnsi="Times New Roman Regular" w:eastAsia="仿宋_GB2312" w:cs="Times New Roman Regular"/>
                <w:color w:val="000000" w:themeColor="text1"/>
                <w14:textFill>
                  <w14:solidFill>
                    <w14:schemeClr w14:val="tx1"/>
                  </w14:solidFill>
                </w14:textFill>
              </w:rPr>
              <w:t>5</w:t>
            </w:r>
            <w:r>
              <w:rPr>
                <w:rFonts w:hint="eastAsia" w:ascii="仿宋_GB2312" w:hAnsi="Times New Roman Regular" w:eastAsia="仿宋_GB2312" w:cs="Times New Roman Regular"/>
                <w:color w:val="000000" w:themeColor="text1"/>
                <w14:textFill>
                  <w14:solidFill>
                    <w14:schemeClr w14:val="tx1"/>
                  </w14:solidFill>
                </w14:textFill>
              </w:rPr>
              <w:t>）</w:t>
            </w:r>
          </w:p>
          <w:p w14:paraId="6C87345E">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p w14:paraId="19F0DFE7">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p w14:paraId="45D65298">
            <w:pPr>
              <w:pStyle w:val="17"/>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Align w:val="center"/>
          </w:tcPr>
          <w:p w14:paraId="4A2B63CA">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日常生产管理制度体系</w:t>
            </w:r>
          </w:p>
        </w:tc>
        <w:tc>
          <w:tcPr>
            <w:tcW w:w="2694" w:type="dxa"/>
            <w:vAlign w:val="center"/>
          </w:tcPr>
          <w:p w14:paraId="7DA01CAA">
            <w:pPr>
              <w:pStyle w:val="17"/>
              <w:widowControl/>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运维单位应建立健全日常运营生产管理制度体系,包括:安全生产管理日常生产管理制度、物资管理制度、人员管理制度、设备设施管理制度、应急管理制度、水质化验制度、巡检制度</w:t>
            </w:r>
          </w:p>
        </w:tc>
        <w:tc>
          <w:tcPr>
            <w:tcW w:w="2835" w:type="dxa"/>
            <w:vAlign w:val="center"/>
          </w:tcPr>
          <w:p w14:paraId="02788F4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缺少一项制度扣1分</w:t>
            </w:r>
          </w:p>
        </w:tc>
        <w:tc>
          <w:tcPr>
            <w:tcW w:w="952" w:type="dxa"/>
            <w:vAlign w:val="center"/>
          </w:tcPr>
          <w:p w14:paraId="661CA739">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5</w:t>
            </w:r>
          </w:p>
        </w:tc>
      </w:tr>
      <w:tr w14:paraId="369B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746003D3">
            <w:pPr>
              <w:pStyle w:val="17"/>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Align w:val="center"/>
          </w:tcPr>
          <w:p w14:paraId="227FA6F2">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生产运行记录</w:t>
            </w:r>
          </w:p>
        </w:tc>
        <w:tc>
          <w:tcPr>
            <w:tcW w:w="2694" w:type="dxa"/>
            <w:vAlign w:val="center"/>
          </w:tcPr>
          <w:p w14:paraId="16345DF8">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运维单位应如实记录设施点生产运行情况包括:定期巡检台账、水质监测化验台账、污泥处置台账、运行人员考核台账、运行管理报告</w:t>
            </w:r>
          </w:p>
        </w:tc>
        <w:tc>
          <w:tcPr>
            <w:tcW w:w="2835" w:type="dxa"/>
            <w:vAlign w:val="center"/>
          </w:tcPr>
          <w:p w14:paraId="7205B494">
            <w:pPr>
              <w:pStyle w:val="17"/>
              <w:widowControl/>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bookmarkStart w:id="220" w:name="OLE_LINK8"/>
            <w:bookmarkStart w:id="221" w:name="OLE_LINK7"/>
            <w:r>
              <w:rPr>
                <w:rFonts w:hint="eastAsia" w:ascii="仿宋_GB2312" w:hAnsi="Times New Roman Regular" w:eastAsia="仿宋_GB2312" w:cs="Times New Roman Regular"/>
                <w:color w:val="000000" w:themeColor="text1"/>
                <w14:textFill>
                  <w14:solidFill>
                    <w14:schemeClr w14:val="tx1"/>
                  </w14:solidFill>
                </w14:textFill>
              </w:rPr>
              <w:t>台账种类有缺失的扣5分，台账每发现一处错漏扣0.5分</w:t>
            </w:r>
            <w:bookmarkEnd w:id="220"/>
            <w:bookmarkEnd w:id="221"/>
          </w:p>
        </w:tc>
        <w:tc>
          <w:tcPr>
            <w:tcW w:w="952" w:type="dxa"/>
            <w:vAlign w:val="center"/>
          </w:tcPr>
          <w:p w14:paraId="5FED8886">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5</w:t>
            </w:r>
          </w:p>
        </w:tc>
      </w:tr>
      <w:tr w14:paraId="3E86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6DADAA36">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Align w:val="center"/>
          </w:tcPr>
          <w:p w14:paraId="3A67C0B8">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维修保养记录</w:t>
            </w:r>
          </w:p>
        </w:tc>
        <w:tc>
          <w:tcPr>
            <w:tcW w:w="2694" w:type="dxa"/>
            <w:vAlign w:val="center"/>
          </w:tcPr>
          <w:p w14:paraId="39592A49">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运行维护单位应如实记录维修及保养情况包括:定期维护保养台账、设备(仪表)维修更换记录</w:t>
            </w:r>
          </w:p>
        </w:tc>
        <w:tc>
          <w:tcPr>
            <w:tcW w:w="2835" w:type="dxa"/>
            <w:vAlign w:val="center"/>
          </w:tcPr>
          <w:p w14:paraId="2CB80B6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台账种类有缺失的扣5分，台账每发现一处错漏扣0.5分</w:t>
            </w:r>
          </w:p>
        </w:tc>
        <w:tc>
          <w:tcPr>
            <w:tcW w:w="952" w:type="dxa"/>
            <w:vAlign w:val="center"/>
          </w:tcPr>
          <w:p w14:paraId="2B9998C7">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5</w:t>
            </w:r>
          </w:p>
        </w:tc>
      </w:tr>
      <w:tr w14:paraId="3B9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6A8F7770">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安全管理（1</w:t>
            </w:r>
            <w:r>
              <w:rPr>
                <w:rFonts w:ascii="仿宋_GB2312" w:hAnsi="Times New Roman Regular" w:eastAsia="仿宋_GB2312" w:cs="Times New Roman Regular"/>
                <w:color w:val="000000" w:themeColor="text1"/>
                <w14:textFill>
                  <w14:solidFill>
                    <w14:schemeClr w14:val="tx1"/>
                  </w14:solidFill>
                </w14:textFill>
              </w:rPr>
              <w:t>5</w:t>
            </w:r>
            <w:r>
              <w:rPr>
                <w:rFonts w:hint="eastAsia" w:ascii="仿宋_GB2312" w:hAnsi="Times New Roman Regular" w:eastAsia="仿宋_GB2312" w:cs="Times New Roman Regular"/>
                <w:color w:val="000000" w:themeColor="text1"/>
                <w14:textFill>
                  <w14:solidFill>
                    <w14:schemeClr w14:val="tx1"/>
                  </w14:solidFill>
                </w14:textFill>
              </w:rPr>
              <w:t>）</w:t>
            </w:r>
          </w:p>
        </w:tc>
        <w:tc>
          <w:tcPr>
            <w:tcW w:w="1559" w:type="dxa"/>
            <w:vAlign w:val="center"/>
          </w:tcPr>
          <w:p w14:paraId="1CE5FE9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安全管理体系</w:t>
            </w:r>
          </w:p>
        </w:tc>
        <w:tc>
          <w:tcPr>
            <w:tcW w:w="2694" w:type="dxa"/>
            <w:vAlign w:val="center"/>
          </w:tcPr>
          <w:p w14:paraId="3E63FCAF">
            <w:pPr>
              <w:pStyle w:val="17"/>
              <w:widowControl/>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运维单位应建立健全安全管理制度、安全管理责任体系、安全应急预案</w:t>
            </w:r>
          </w:p>
        </w:tc>
        <w:tc>
          <w:tcPr>
            <w:tcW w:w="2835" w:type="dxa"/>
            <w:vAlign w:val="center"/>
          </w:tcPr>
          <w:p w14:paraId="1CE190A8">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制度、体系、预案有缺失的扣3分</w:t>
            </w:r>
          </w:p>
        </w:tc>
        <w:tc>
          <w:tcPr>
            <w:tcW w:w="952" w:type="dxa"/>
            <w:vAlign w:val="center"/>
          </w:tcPr>
          <w:p w14:paraId="147730A9">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3</w:t>
            </w:r>
          </w:p>
        </w:tc>
      </w:tr>
      <w:tr w14:paraId="1685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5A9F070A">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Align w:val="center"/>
          </w:tcPr>
          <w:p w14:paraId="21DDE42D">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安全生产资料</w:t>
            </w:r>
          </w:p>
        </w:tc>
        <w:tc>
          <w:tcPr>
            <w:tcW w:w="2694" w:type="dxa"/>
            <w:vAlign w:val="center"/>
          </w:tcPr>
          <w:p w14:paraId="58874825">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运维单位应定期召开安全会议,开展安全检查和安全演练，做好安全培训记录并留档</w:t>
            </w:r>
          </w:p>
        </w:tc>
        <w:tc>
          <w:tcPr>
            <w:tcW w:w="2835" w:type="dxa"/>
            <w:vAlign w:val="center"/>
          </w:tcPr>
          <w:p w14:paraId="58E79D50">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每缺少一项资料扣1分</w:t>
            </w:r>
          </w:p>
        </w:tc>
        <w:tc>
          <w:tcPr>
            <w:tcW w:w="952" w:type="dxa"/>
            <w:vAlign w:val="center"/>
          </w:tcPr>
          <w:p w14:paraId="488AF927">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3</w:t>
            </w:r>
          </w:p>
        </w:tc>
      </w:tr>
      <w:tr w14:paraId="5184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21796DC6">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Merge w:val="restart"/>
            <w:vAlign w:val="center"/>
          </w:tcPr>
          <w:p w14:paraId="4A7514E1">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现场安全管理</w:t>
            </w:r>
          </w:p>
        </w:tc>
        <w:tc>
          <w:tcPr>
            <w:tcW w:w="2694" w:type="dxa"/>
            <w:vMerge w:val="restart"/>
            <w:vAlign w:val="center"/>
          </w:tcPr>
          <w:p w14:paraId="08AECE50">
            <w:pPr>
              <w:pStyle w:val="17"/>
              <w:widowControl/>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运维单位应采取必要的措施来保障设施、现场的人员和设备安全，并按要求设置分隔措施和警示标志,运维人员应配备必要的劳动防护用品</w:t>
            </w:r>
          </w:p>
        </w:tc>
        <w:tc>
          <w:tcPr>
            <w:tcW w:w="2835" w:type="dxa"/>
            <w:vAlign w:val="center"/>
          </w:tcPr>
          <w:p w14:paraId="352D8CFC">
            <w:pPr>
              <w:pStyle w:val="17"/>
              <w:widowControl/>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现场危险源未设置必要的安全措施及警示标志的,每发现一处扣0.5分</w:t>
            </w:r>
          </w:p>
        </w:tc>
        <w:tc>
          <w:tcPr>
            <w:tcW w:w="952" w:type="dxa"/>
            <w:vAlign w:val="center"/>
          </w:tcPr>
          <w:p w14:paraId="78758B91">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p w14:paraId="2F8662AF">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3</w:t>
            </w:r>
          </w:p>
        </w:tc>
      </w:tr>
      <w:tr w14:paraId="2A9E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4D93D2EA">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Merge w:val="continue"/>
            <w:vAlign w:val="center"/>
          </w:tcPr>
          <w:p w14:paraId="3B0F3FF0">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2694" w:type="dxa"/>
            <w:vMerge w:val="continue"/>
            <w:vAlign w:val="center"/>
          </w:tcPr>
          <w:p w14:paraId="5314A75D">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2835" w:type="dxa"/>
            <w:vAlign w:val="center"/>
          </w:tcPr>
          <w:p w14:paraId="5A657812">
            <w:pPr>
              <w:pStyle w:val="17"/>
              <w:widowControl/>
              <w:spacing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构筑物及附件、机械设备、供配电设施维护不力,造成安全隐患的,每发现一处安全隐患扣0.5分</w:t>
            </w:r>
          </w:p>
        </w:tc>
        <w:tc>
          <w:tcPr>
            <w:tcW w:w="952" w:type="dxa"/>
            <w:vAlign w:val="center"/>
          </w:tcPr>
          <w:p w14:paraId="01BC29DA">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3</w:t>
            </w:r>
          </w:p>
        </w:tc>
      </w:tr>
      <w:tr w14:paraId="2A2A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6D3E1710">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1559" w:type="dxa"/>
            <w:vMerge w:val="continue"/>
            <w:vAlign w:val="center"/>
          </w:tcPr>
          <w:p w14:paraId="0207C31E">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2694" w:type="dxa"/>
            <w:vMerge w:val="continue"/>
            <w:vAlign w:val="center"/>
          </w:tcPr>
          <w:p w14:paraId="7ED5049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p>
        </w:tc>
        <w:tc>
          <w:tcPr>
            <w:tcW w:w="2835" w:type="dxa"/>
            <w:vAlign w:val="center"/>
          </w:tcPr>
          <w:p w14:paraId="4D1D81D3">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运维单位未配备便携式有毒气体监测装置、防毒面具的,扣3分</w:t>
            </w:r>
          </w:p>
        </w:tc>
        <w:tc>
          <w:tcPr>
            <w:tcW w:w="952" w:type="dxa"/>
            <w:vAlign w:val="center"/>
          </w:tcPr>
          <w:p w14:paraId="000A6754">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3</w:t>
            </w:r>
          </w:p>
        </w:tc>
      </w:tr>
      <w:tr w14:paraId="78E0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05A7465">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社会综合评价（</w:t>
            </w:r>
            <w:r>
              <w:rPr>
                <w:rFonts w:ascii="仿宋_GB2312" w:hAnsi="Times New Roman Regular" w:eastAsia="仿宋_GB2312" w:cs="Times New Roman Regular"/>
                <w:color w:val="000000" w:themeColor="text1"/>
                <w14:textFill>
                  <w14:solidFill>
                    <w14:schemeClr w14:val="tx1"/>
                  </w14:solidFill>
                </w14:textFill>
              </w:rPr>
              <w:t>20</w:t>
            </w:r>
            <w:r>
              <w:rPr>
                <w:rFonts w:hint="eastAsia" w:ascii="仿宋_GB2312" w:hAnsi="Times New Roman Regular" w:eastAsia="仿宋_GB2312" w:cs="Times New Roman Regular"/>
                <w:color w:val="000000" w:themeColor="text1"/>
                <w14:textFill>
                  <w14:solidFill>
                    <w14:schemeClr w14:val="tx1"/>
                  </w14:solidFill>
                </w14:textFill>
              </w:rPr>
              <w:t>分）</w:t>
            </w:r>
          </w:p>
        </w:tc>
        <w:tc>
          <w:tcPr>
            <w:tcW w:w="1559" w:type="dxa"/>
            <w:vAlign w:val="center"/>
          </w:tcPr>
          <w:p w14:paraId="19302182">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处罚及有效投诉</w:t>
            </w:r>
          </w:p>
        </w:tc>
        <w:tc>
          <w:tcPr>
            <w:tcW w:w="2694" w:type="dxa"/>
            <w:vAlign w:val="center"/>
          </w:tcPr>
          <w:p w14:paraId="66823165">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不被政府部门处罚，不被社会有效投诉或公众媒体有效负面报道</w:t>
            </w:r>
          </w:p>
        </w:tc>
        <w:tc>
          <w:tcPr>
            <w:tcW w:w="2835" w:type="dxa"/>
            <w:vAlign w:val="center"/>
          </w:tcPr>
          <w:p w14:paraId="2BADE03C">
            <w:pPr>
              <w:pStyle w:val="17"/>
              <w:widowControl/>
              <w:spacing w:beforeAutospacing="0" w:afterAutospacing="0" w:line="276" w:lineRule="auto"/>
              <w:rPr>
                <w:rFonts w:ascii="仿宋_GB2312" w:hAnsi="Times New Roman Regular" w:eastAsia="仿宋_GB2312" w:cs="Times New Roman Regular"/>
                <w:color w:val="000000" w:themeColor="text1"/>
                <w14:textFill>
                  <w14:solidFill>
                    <w14:schemeClr w14:val="tx1"/>
                  </w14:solidFill>
                </w14:textFill>
              </w:rPr>
            </w:pPr>
            <w:r>
              <w:rPr>
                <w:rFonts w:hint="eastAsia" w:ascii="仿宋_GB2312" w:hAnsi="Times New Roman Regular" w:eastAsia="仿宋_GB2312" w:cs="Times New Roman Regular"/>
                <w:color w:val="000000" w:themeColor="text1"/>
                <w14:textFill>
                  <w14:solidFill>
                    <w14:schemeClr w14:val="tx1"/>
                  </w14:solidFill>
                </w14:textFill>
              </w:rPr>
              <w:t>被政府部门处罚,或被社会有效投诉,或被公众媒体有效负面报道,每发现一次扣</w:t>
            </w:r>
            <w:r>
              <w:rPr>
                <w:rFonts w:ascii="仿宋_GB2312" w:hAnsi="Times New Roman Regular" w:eastAsia="仿宋_GB2312" w:cs="Times New Roman Regular"/>
                <w:color w:val="000000" w:themeColor="text1"/>
                <w14:textFill>
                  <w14:solidFill>
                    <w14:schemeClr w14:val="tx1"/>
                  </w14:solidFill>
                </w14:textFill>
              </w:rPr>
              <w:t>10</w:t>
            </w:r>
            <w:r>
              <w:rPr>
                <w:rFonts w:hint="eastAsia" w:ascii="仿宋_GB2312" w:hAnsi="Times New Roman Regular" w:eastAsia="仿宋_GB2312" w:cs="Times New Roman Regular"/>
                <w:color w:val="000000" w:themeColor="text1"/>
                <w14:textFill>
                  <w14:solidFill>
                    <w14:schemeClr w14:val="tx1"/>
                  </w14:solidFill>
                </w14:textFill>
              </w:rPr>
              <w:t>分</w:t>
            </w:r>
          </w:p>
        </w:tc>
        <w:tc>
          <w:tcPr>
            <w:tcW w:w="952" w:type="dxa"/>
            <w:vAlign w:val="center"/>
          </w:tcPr>
          <w:p w14:paraId="488030E4">
            <w:pPr>
              <w:pStyle w:val="17"/>
              <w:widowControl/>
              <w:spacing w:beforeAutospacing="0" w:afterAutospacing="0" w:line="276" w:lineRule="auto"/>
              <w:ind w:firstLine="480"/>
              <w:rPr>
                <w:rFonts w:ascii="仿宋_GB2312" w:hAnsi="Times New Roman Regular" w:eastAsia="仿宋_GB2312" w:cs="Times New Roman Regular"/>
                <w:color w:val="000000" w:themeColor="text1"/>
                <w14:textFill>
                  <w14:solidFill>
                    <w14:schemeClr w14:val="tx1"/>
                  </w14:solidFill>
                </w14:textFill>
              </w:rPr>
            </w:pPr>
            <w:r>
              <w:rPr>
                <w:rFonts w:ascii="仿宋_GB2312" w:hAnsi="Times New Roman Regular" w:eastAsia="仿宋_GB2312" w:cs="Times New Roman Regular"/>
                <w:color w:val="000000" w:themeColor="text1"/>
                <w14:textFill>
                  <w14:solidFill>
                    <w14:schemeClr w14:val="tx1"/>
                  </w14:solidFill>
                </w14:textFill>
              </w:rPr>
              <w:t>20</w:t>
            </w:r>
          </w:p>
        </w:tc>
      </w:tr>
    </w:tbl>
    <w:p w14:paraId="4912AE5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29F7502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0D4A8C80">
      <w:pPr>
        <w:pStyle w:val="4"/>
      </w:pPr>
      <w:bookmarkStart w:id="222" w:name="_Toc9876"/>
      <w:bookmarkStart w:id="223" w:name="_Toc25949"/>
      <w:bookmarkStart w:id="224" w:name="_Toc8195"/>
      <w:bookmarkStart w:id="225" w:name="_Toc188530567"/>
      <w:r>
        <w:rPr>
          <w:rFonts w:hint="eastAsia"/>
        </w:rPr>
        <w:t>（八）</w:t>
      </w:r>
      <w:r>
        <w:t>风险管控</w:t>
      </w:r>
      <w:bookmarkEnd w:id="222"/>
      <w:bookmarkEnd w:id="223"/>
      <w:bookmarkEnd w:id="224"/>
      <w:bookmarkEnd w:id="225"/>
    </w:p>
    <w:p w14:paraId="7FFCC9D0">
      <w:pPr>
        <w:pStyle w:val="5"/>
      </w:pPr>
      <w:bookmarkStart w:id="226" w:name="_Toc12351"/>
      <w:r>
        <w:t>1、风险分配</w:t>
      </w:r>
      <w:bookmarkEnd w:id="226"/>
    </w:p>
    <w:p w14:paraId="1FD71D10">
      <w:pPr>
        <w:pStyle w:val="6"/>
      </w:pPr>
      <w:bookmarkStart w:id="227" w:name="_Toc15499"/>
      <w:bookmarkStart w:id="228" w:name="_Toc31248"/>
      <w:bookmarkStart w:id="229" w:name="_Toc1278"/>
      <w:bookmarkStart w:id="230" w:name="_Toc220"/>
      <w:bookmarkStart w:id="231" w:name="_Toc22683"/>
      <w:r>
        <w:t>（1）风险分配原则</w:t>
      </w:r>
      <w:bookmarkEnd w:id="227"/>
      <w:bookmarkEnd w:id="228"/>
      <w:bookmarkEnd w:id="229"/>
      <w:bookmarkEnd w:id="230"/>
      <w:bookmarkEnd w:id="231"/>
    </w:p>
    <w:p w14:paraId="1A82A2E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32" w:name="_Toc603"/>
      <w:r>
        <w:rPr>
          <w:rFonts w:ascii="Times New Roman Regular" w:hAnsi="Times New Roman Regular" w:eastAsia="仿宋_GB2312" w:cs="Times New Roman Regular"/>
          <w:color w:val="000000" w:themeColor="text1"/>
          <w:sz w:val="28"/>
          <w:szCs w:val="28"/>
          <w14:textFill>
            <w14:solidFill>
              <w14:schemeClr w14:val="tx1"/>
            </w14:solidFill>
          </w14:textFill>
        </w:rPr>
        <w:t>本项目涉及各类潜在风险，按照风险分配优化、风险收益对等和风险可控等原则，应由最有能力消除、控制或降低风险的一方承担风险。在特许经营协议中需具体明确项目风险的分配，使政府和特许经营合作方间合理分配项目风险。</w:t>
      </w:r>
      <w:bookmarkEnd w:id="232"/>
    </w:p>
    <w:p w14:paraId="20AFC18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33" w:name="_Toc13223"/>
      <w:r>
        <w:rPr>
          <w:rFonts w:ascii="Times New Roman Regular" w:hAnsi="Times New Roman Regular" w:eastAsia="微软雅黑" w:cs="Times New Roman Regular"/>
          <w:color w:val="000000" w:themeColor="text1"/>
          <w:sz w:val="28"/>
          <w:szCs w:val="28"/>
          <w14:textFill>
            <w14:solidFill>
              <w14:schemeClr w14:val="tx1"/>
            </w14:solidFill>
          </w14:textFill>
        </w:rPr>
        <w:t>①</w:t>
      </w:r>
      <w:r>
        <w:rPr>
          <w:rFonts w:ascii="Times New Roman Regular" w:hAnsi="Times New Roman Regular" w:eastAsia="仿宋_GB2312" w:cs="Times New Roman Regular"/>
          <w:color w:val="000000" w:themeColor="text1"/>
          <w:sz w:val="28"/>
          <w:szCs w:val="28"/>
          <w14:textFill>
            <w14:solidFill>
              <w14:schemeClr w14:val="tx1"/>
            </w14:solidFill>
          </w14:textFill>
        </w:rPr>
        <w:t>最优风险分配原则</w:t>
      </w:r>
      <w:bookmarkEnd w:id="233"/>
    </w:p>
    <w:p w14:paraId="119FEA1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34" w:name="_Toc3847"/>
      <w:r>
        <w:rPr>
          <w:rFonts w:ascii="Times New Roman Regular" w:hAnsi="Times New Roman Regular" w:eastAsia="仿宋_GB2312" w:cs="Times New Roman Regular"/>
          <w:color w:val="000000" w:themeColor="text1"/>
          <w:sz w:val="28"/>
          <w:szCs w:val="28"/>
          <w14:textFill>
            <w14:solidFill>
              <w14:schemeClr w14:val="tx1"/>
            </w14:solidFill>
          </w14:textFill>
        </w:rPr>
        <w:t>在受制于法律约束和公共利益考虑的前提下，风险应分配给能够以最小成本（对政府而言）、最有效管理它的一方承担，并且给予风险承担方选择如何处理和最小化风险的权利。</w:t>
      </w:r>
      <w:bookmarkEnd w:id="234"/>
    </w:p>
    <w:p w14:paraId="3EE4B8A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35" w:name="_Toc11467"/>
      <w:r>
        <w:rPr>
          <w:rFonts w:ascii="Times New Roman Regular" w:hAnsi="Times New Roman Regular" w:eastAsia="微软雅黑" w:cs="Times New Roman Regular"/>
          <w:color w:val="000000" w:themeColor="text1"/>
          <w:sz w:val="28"/>
          <w:szCs w:val="28"/>
          <w14:textFill>
            <w14:solidFill>
              <w14:schemeClr w14:val="tx1"/>
            </w14:solidFill>
          </w14:textFill>
        </w:rPr>
        <w:t>②</w:t>
      </w:r>
      <w:r>
        <w:rPr>
          <w:rFonts w:ascii="Times New Roman Regular" w:hAnsi="Times New Roman Regular" w:eastAsia="仿宋_GB2312" w:cs="Times New Roman Regular"/>
          <w:color w:val="000000" w:themeColor="text1"/>
          <w:sz w:val="28"/>
          <w:szCs w:val="28"/>
          <w14:textFill>
            <w14:solidFill>
              <w14:schemeClr w14:val="tx1"/>
            </w14:solidFill>
          </w14:textFill>
        </w:rPr>
        <w:t>风险收益对等原则</w:t>
      </w:r>
      <w:bookmarkEnd w:id="235"/>
    </w:p>
    <w:p w14:paraId="678D4E1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36" w:name="_Toc2753"/>
      <w:r>
        <w:rPr>
          <w:rFonts w:ascii="Times New Roman Regular" w:hAnsi="Times New Roman Regular" w:eastAsia="仿宋_GB2312" w:cs="Times New Roman Regular"/>
          <w:color w:val="000000" w:themeColor="text1"/>
          <w:sz w:val="28"/>
          <w:szCs w:val="28"/>
          <w14:textFill>
            <w14:solidFill>
              <w14:schemeClr w14:val="tx1"/>
            </w14:solidFill>
          </w14:textFill>
        </w:rPr>
        <w:t>既关注特许经营合作方对于风险管理成本和风险损失的承担，又尊重其获得与承担风险相匹配的收益水平的权利。</w:t>
      </w:r>
      <w:bookmarkEnd w:id="236"/>
    </w:p>
    <w:p w14:paraId="32F8A2C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37" w:name="_Toc13901"/>
      <w:r>
        <w:rPr>
          <w:rFonts w:ascii="Times New Roman Regular" w:hAnsi="Times New Roman Regular" w:eastAsia="微软雅黑" w:cs="Times New Roman Regular"/>
          <w:color w:val="000000" w:themeColor="text1"/>
          <w:sz w:val="28"/>
          <w:szCs w:val="28"/>
          <w14:textFill>
            <w14:solidFill>
              <w14:schemeClr w14:val="tx1"/>
            </w14:solidFill>
          </w14:textFill>
        </w:rPr>
        <w:t>③</w:t>
      </w:r>
      <w:r>
        <w:rPr>
          <w:rFonts w:ascii="Times New Roman Regular" w:hAnsi="Times New Roman Regular" w:eastAsia="仿宋_GB2312" w:cs="Times New Roman Regular"/>
          <w:color w:val="000000" w:themeColor="text1"/>
          <w:sz w:val="28"/>
          <w:szCs w:val="28"/>
          <w14:textFill>
            <w14:solidFill>
              <w14:schemeClr w14:val="tx1"/>
            </w14:solidFill>
          </w14:textFill>
        </w:rPr>
        <w:t>风险可控原则</w:t>
      </w:r>
      <w:bookmarkEnd w:id="237"/>
    </w:p>
    <w:p w14:paraId="078902B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38" w:name="_Toc25041"/>
      <w:r>
        <w:rPr>
          <w:rFonts w:ascii="Times New Roman Regular" w:hAnsi="Times New Roman Regular" w:eastAsia="仿宋_GB2312" w:cs="Times New Roman Regular"/>
          <w:color w:val="000000" w:themeColor="text1"/>
          <w:sz w:val="28"/>
          <w:szCs w:val="28"/>
          <w14:textFill>
            <w14:solidFill>
              <w14:schemeClr w14:val="tx1"/>
            </w14:solidFill>
          </w14:textFill>
        </w:rPr>
        <w:t>应按项目参与方的财务实力、技术能力、管理能力等因素设定风险损失承担上限，不宜由任何一方承担超过其承受能力的风险，以保证双方合作关系的长期持续稳定。</w:t>
      </w:r>
      <w:bookmarkEnd w:id="238"/>
    </w:p>
    <w:p w14:paraId="2E39BAD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39" w:name="_Toc6523"/>
      <w:bookmarkStart w:id="240" w:name="_Toc3808"/>
      <w:bookmarkStart w:id="241" w:name="_Toc28232"/>
      <w:bookmarkStart w:id="242" w:name="_Toc7136"/>
      <w:bookmarkStart w:id="243" w:name="_Toc15294"/>
      <w:r>
        <w:rPr>
          <w:rFonts w:ascii="Times New Roman Regular" w:hAnsi="Times New Roman Regular" w:eastAsia="微软雅黑" w:cs="Times New Roman Regular"/>
          <w:color w:val="000000" w:themeColor="text1"/>
          <w:sz w:val="28"/>
          <w:szCs w:val="28"/>
          <w14:textFill>
            <w14:solidFill>
              <w14:schemeClr w14:val="tx1"/>
            </w14:solidFill>
          </w14:textFill>
        </w:rPr>
        <w:t>④</w:t>
      </w:r>
      <w:r>
        <w:rPr>
          <w:rFonts w:ascii="Times New Roman Regular" w:hAnsi="Times New Roman Regular" w:eastAsia="仿宋_GB2312" w:cs="Times New Roman Regular"/>
          <w:color w:val="000000" w:themeColor="text1"/>
          <w:sz w:val="28"/>
          <w:szCs w:val="28"/>
          <w14:textFill>
            <w14:solidFill>
              <w14:schemeClr w14:val="tx1"/>
            </w14:solidFill>
          </w14:textFill>
        </w:rPr>
        <w:t>本项目的风险分配</w:t>
      </w:r>
      <w:bookmarkEnd w:id="239"/>
      <w:bookmarkEnd w:id="240"/>
      <w:bookmarkEnd w:id="241"/>
      <w:bookmarkEnd w:id="242"/>
      <w:bookmarkEnd w:id="243"/>
    </w:p>
    <w:p w14:paraId="77C2735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44" w:name="_Toc13777"/>
      <w:r>
        <w:rPr>
          <w:rFonts w:ascii="Times New Roman Regular" w:hAnsi="Times New Roman Regular" w:eastAsia="仿宋_GB2312" w:cs="Times New Roman Regular"/>
          <w:color w:val="000000" w:themeColor="text1"/>
          <w:sz w:val="28"/>
          <w:szCs w:val="28"/>
          <w14:textFill>
            <w14:solidFill>
              <w14:schemeClr w14:val="tx1"/>
            </w14:solidFill>
          </w14:textFill>
        </w:rPr>
        <w:t>本项目实施过程中，相关各方将复杂、难以控制的风险在各方之间进行合理分配，可以有效降低项目总体风险程度，确保项目成功实施。</w:t>
      </w:r>
      <w:bookmarkEnd w:id="244"/>
    </w:p>
    <w:p w14:paraId="79CFE69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45" w:name="_Toc257"/>
      <w:r>
        <w:rPr>
          <w:rFonts w:ascii="Times New Roman Regular" w:hAnsi="Times New Roman Regular" w:eastAsia="仿宋_GB2312" w:cs="Times New Roman Regular"/>
          <w:color w:val="000000" w:themeColor="text1"/>
          <w:sz w:val="28"/>
          <w:szCs w:val="28"/>
          <w14:textFill>
            <w14:solidFill>
              <w14:schemeClr w14:val="tx1"/>
            </w14:solidFill>
          </w14:textFill>
        </w:rPr>
        <w:t>按照风险分配优化、风险收益对等和风险可控等原则：</w:t>
      </w:r>
      <w:bookmarkEnd w:id="245"/>
    </w:p>
    <w:p w14:paraId="37CEE16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46" w:name="_Toc16459"/>
      <w:r>
        <w:rPr>
          <w:rFonts w:ascii="Times New Roman Regular" w:hAnsi="Times New Roman Regular" w:eastAsia="微软雅黑" w:cs="Times New Roman Regular"/>
          <w:color w:val="000000" w:themeColor="text1"/>
          <w:sz w:val="28"/>
          <w:szCs w:val="28"/>
          <w14:textFill>
            <w14:solidFill>
              <w14:schemeClr w14:val="tx1"/>
            </w14:solidFill>
          </w14:textFill>
        </w:rPr>
        <w:t>①</w:t>
      </w:r>
      <w:r>
        <w:rPr>
          <w:rFonts w:ascii="Times New Roman Regular" w:hAnsi="Times New Roman Regular" w:eastAsia="仿宋_GB2312" w:cs="Times New Roman Regular"/>
          <w:color w:val="000000" w:themeColor="text1"/>
          <w:sz w:val="28"/>
          <w:szCs w:val="28"/>
          <w14:textFill>
            <w14:solidFill>
              <w14:schemeClr w14:val="tx1"/>
            </w14:solidFill>
          </w14:textFill>
        </w:rPr>
        <w:t>项目融资、设计、建设、财务、运营维护等商业风险通常由特许经营合作方承担；</w:t>
      </w:r>
      <w:bookmarkEnd w:id="246"/>
    </w:p>
    <w:p w14:paraId="16A9706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47" w:name="_Toc23435"/>
      <w:r>
        <w:rPr>
          <w:rFonts w:ascii="Times New Roman Regular" w:hAnsi="Times New Roman Regular" w:eastAsia="微软雅黑" w:cs="Times New Roman Regular"/>
          <w:color w:val="000000" w:themeColor="text1"/>
          <w:sz w:val="28"/>
          <w:szCs w:val="28"/>
          <w14:textFill>
            <w14:solidFill>
              <w14:schemeClr w14:val="tx1"/>
            </w14:solidFill>
          </w14:textFill>
        </w:rPr>
        <w:t>②</w:t>
      </w:r>
      <w:r>
        <w:rPr>
          <w:rFonts w:ascii="Times New Roman Regular" w:hAnsi="Times New Roman Regular" w:eastAsia="仿宋_GB2312" w:cs="Times New Roman Regular"/>
          <w:color w:val="000000" w:themeColor="text1"/>
          <w:sz w:val="28"/>
          <w:szCs w:val="28"/>
          <w14:textFill>
            <w14:solidFill>
              <w14:schemeClr w14:val="tx1"/>
            </w14:solidFill>
          </w14:textFill>
        </w:rPr>
        <w:t>法律、政策和最低需求等风险通常由政府承担；</w:t>
      </w:r>
      <w:bookmarkEnd w:id="247"/>
    </w:p>
    <w:p w14:paraId="7D49E64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48" w:name="_Toc2913"/>
      <w:r>
        <w:rPr>
          <w:rFonts w:ascii="Times New Roman Regular" w:hAnsi="Times New Roman Regular" w:eastAsia="微软雅黑" w:cs="Times New Roman Regular"/>
          <w:color w:val="000000" w:themeColor="text1"/>
          <w:sz w:val="28"/>
          <w:szCs w:val="28"/>
          <w14:textFill>
            <w14:solidFill>
              <w14:schemeClr w14:val="tx1"/>
            </w14:solidFill>
          </w14:textFill>
        </w:rPr>
        <w:t>③</w:t>
      </w:r>
      <w:r>
        <w:rPr>
          <w:rFonts w:ascii="Times New Roman Regular" w:hAnsi="Times New Roman Regular" w:eastAsia="仿宋_GB2312" w:cs="Times New Roman Regular"/>
          <w:color w:val="000000" w:themeColor="text1"/>
          <w:sz w:val="28"/>
          <w:szCs w:val="28"/>
          <w14:textFill>
            <w14:solidFill>
              <w14:schemeClr w14:val="tx1"/>
            </w14:solidFill>
          </w14:textFill>
        </w:rPr>
        <w:t>不可抗力等风险由政府和特许经营合作方合理共担。</w:t>
      </w:r>
      <w:bookmarkEnd w:id="248"/>
    </w:p>
    <w:p w14:paraId="1714EB5F">
      <w:pPr>
        <w:pStyle w:val="6"/>
      </w:pPr>
      <w:r>
        <w:rPr>
          <w:rFonts w:hint="eastAsia"/>
        </w:rPr>
        <w:t>（2）风险分配及控制</w:t>
      </w:r>
    </w:p>
    <w:p w14:paraId="7AB7F86E">
      <w:pPr>
        <w:jc w:val="center"/>
        <w:rPr>
          <w:rFonts w:ascii="仿宋" w:hAnsi="仿宋" w:eastAsia="仿宋"/>
          <w:b/>
          <w:bCs/>
          <w:sz w:val="28"/>
          <w:szCs w:val="28"/>
        </w:rPr>
      </w:pPr>
      <w:r>
        <w:rPr>
          <w:rFonts w:hint="eastAsia" w:ascii="仿宋" w:hAnsi="仿宋" w:eastAsia="仿宋" w:cs="Times New Roman Regular"/>
          <w:b/>
          <w:bCs/>
          <w:color w:val="000000" w:themeColor="text1"/>
          <w:kern w:val="0"/>
          <w:sz w:val="28"/>
          <w:szCs w:val="28"/>
          <w14:textFill>
            <w14:solidFill>
              <w14:schemeClr w14:val="tx1"/>
            </w14:solidFill>
          </w14:textFill>
        </w:rPr>
        <w:t>表</w:t>
      </w:r>
      <w:r>
        <w:rPr>
          <w:rFonts w:ascii="仿宋" w:hAnsi="仿宋" w:eastAsia="仿宋" w:cs="Times New Roman Regular"/>
          <w:b/>
          <w:bCs/>
          <w:color w:val="000000" w:themeColor="text1"/>
          <w:kern w:val="0"/>
          <w:sz w:val="28"/>
          <w:szCs w:val="28"/>
          <w14:textFill>
            <w14:solidFill>
              <w14:schemeClr w14:val="tx1"/>
            </w14:solidFill>
          </w14:textFill>
        </w:rPr>
        <w:t xml:space="preserve">10-1 </w:t>
      </w:r>
      <w:r>
        <w:rPr>
          <w:rFonts w:hint="eastAsia" w:ascii="仿宋" w:hAnsi="仿宋" w:eastAsia="仿宋"/>
          <w:b/>
          <w:bCs/>
          <w:sz w:val="28"/>
          <w:szCs w:val="28"/>
        </w:rPr>
        <w:t>项目主要风险识别及分析表</w:t>
      </w:r>
    </w:p>
    <w:p w14:paraId="0A927762">
      <w:pPr>
        <w:pStyle w:val="2"/>
      </w:pPr>
    </w:p>
    <w:tbl>
      <w:tblPr>
        <w:tblStyle w:val="18"/>
        <w:tblpPr w:leftFromText="180" w:rightFromText="180" w:vertAnchor="text" w:tblpXSpec="center" w:tblpY="1"/>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987"/>
        <w:gridCol w:w="2079"/>
        <w:gridCol w:w="3926"/>
      </w:tblGrid>
      <w:tr w14:paraId="3D89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trPr>
        <w:tc>
          <w:tcPr>
            <w:tcW w:w="1143" w:type="dxa"/>
            <w:shd w:val="clear" w:color="auto" w:fill="DAE3F4" w:themeFill="accent1" w:themeFillTint="33"/>
            <w:vAlign w:val="center"/>
          </w:tcPr>
          <w:p w14:paraId="2FFAA978">
            <w:pPr>
              <w:topLinePunct/>
              <w:spacing w:line="276" w:lineRule="auto"/>
              <w:jc w:val="center"/>
              <w:rPr>
                <w:rFonts w:ascii="仿宋_GB2312" w:hAnsi="仿宋" w:eastAsia="仿宋_GB2312"/>
                <w:b/>
                <w:bCs/>
                <w:color w:val="000000"/>
                <w:szCs w:val="21"/>
              </w:rPr>
            </w:pPr>
            <w:bookmarkStart w:id="249" w:name="_Hlk15135376"/>
            <w:r>
              <w:rPr>
                <w:rFonts w:hint="eastAsia" w:ascii="仿宋_GB2312" w:hAnsi="仿宋" w:eastAsia="仿宋_GB2312"/>
                <w:b/>
                <w:bCs/>
                <w:color w:val="000000"/>
                <w:szCs w:val="21"/>
              </w:rPr>
              <w:t>风险类型</w:t>
            </w:r>
          </w:p>
        </w:tc>
        <w:tc>
          <w:tcPr>
            <w:tcW w:w="1987" w:type="dxa"/>
            <w:shd w:val="clear" w:color="auto" w:fill="DAE3F4" w:themeFill="accent1" w:themeFillTint="33"/>
            <w:vAlign w:val="center"/>
          </w:tcPr>
          <w:p w14:paraId="3E442348">
            <w:pPr>
              <w:topLinePunct/>
              <w:spacing w:line="276" w:lineRule="auto"/>
              <w:jc w:val="center"/>
              <w:rPr>
                <w:rFonts w:ascii="仿宋_GB2312" w:hAnsi="仿宋" w:eastAsia="仿宋_GB2312"/>
                <w:b/>
                <w:bCs/>
                <w:color w:val="000000"/>
                <w:szCs w:val="21"/>
              </w:rPr>
            </w:pPr>
            <w:r>
              <w:rPr>
                <w:rFonts w:hint="eastAsia" w:ascii="仿宋_GB2312" w:hAnsi="仿宋" w:eastAsia="仿宋_GB2312"/>
                <w:b/>
                <w:bCs/>
                <w:color w:val="000000"/>
                <w:szCs w:val="21"/>
              </w:rPr>
              <w:t>风险描述</w:t>
            </w:r>
          </w:p>
        </w:tc>
        <w:tc>
          <w:tcPr>
            <w:tcW w:w="2079" w:type="dxa"/>
            <w:shd w:val="clear" w:color="auto" w:fill="DAE3F4" w:themeFill="accent1" w:themeFillTint="33"/>
            <w:vAlign w:val="center"/>
          </w:tcPr>
          <w:p w14:paraId="570A4DF5">
            <w:pPr>
              <w:topLinePunct/>
              <w:spacing w:line="276" w:lineRule="auto"/>
              <w:jc w:val="center"/>
              <w:rPr>
                <w:rFonts w:ascii="仿宋_GB2312" w:hAnsi="仿宋" w:eastAsia="仿宋_GB2312"/>
                <w:b/>
                <w:bCs/>
                <w:color w:val="000000"/>
                <w:szCs w:val="21"/>
              </w:rPr>
            </w:pPr>
            <w:r>
              <w:rPr>
                <w:rFonts w:hint="eastAsia" w:ascii="仿宋_GB2312" w:hAnsi="仿宋" w:eastAsia="仿宋_GB2312"/>
                <w:b/>
                <w:bCs/>
                <w:color w:val="000000"/>
                <w:szCs w:val="21"/>
              </w:rPr>
              <w:t>产生的后果</w:t>
            </w:r>
          </w:p>
        </w:tc>
        <w:tc>
          <w:tcPr>
            <w:tcW w:w="3926" w:type="dxa"/>
            <w:shd w:val="clear" w:color="auto" w:fill="DAE3F4" w:themeFill="accent1" w:themeFillTint="33"/>
            <w:vAlign w:val="center"/>
          </w:tcPr>
          <w:p w14:paraId="415D90D0">
            <w:pPr>
              <w:topLinePunct/>
              <w:spacing w:line="276" w:lineRule="auto"/>
              <w:jc w:val="center"/>
              <w:rPr>
                <w:rFonts w:ascii="仿宋_GB2312" w:hAnsi="仿宋" w:eastAsia="仿宋_GB2312"/>
                <w:b/>
                <w:bCs/>
                <w:color w:val="000000"/>
                <w:szCs w:val="21"/>
              </w:rPr>
            </w:pPr>
            <w:r>
              <w:rPr>
                <w:rFonts w:hint="eastAsia" w:ascii="仿宋_GB2312" w:hAnsi="仿宋" w:eastAsia="仿宋_GB2312"/>
                <w:b/>
                <w:bCs/>
                <w:color w:val="000000"/>
                <w:szCs w:val="21"/>
              </w:rPr>
              <w:t>风险分配及控制</w:t>
            </w:r>
          </w:p>
        </w:tc>
      </w:tr>
      <w:tr w14:paraId="2072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trPr>
        <w:tc>
          <w:tcPr>
            <w:tcW w:w="9135" w:type="dxa"/>
            <w:gridSpan w:val="4"/>
            <w:shd w:val="clear" w:color="auto" w:fill="D9D9D9"/>
            <w:vAlign w:val="center"/>
          </w:tcPr>
          <w:p w14:paraId="56C6B74C">
            <w:pPr>
              <w:topLinePunct/>
              <w:spacing w:line="276" w:lineRule="auto"/>
              <w:jc w:val="left"/>
              <w:rPr>
                <w:rFonts w:ascii="仿宋_GB2312" w:hAnsi="仿宋" w:eastAsia="仿宋_GB2312"/>
                <w:b/>
                <w:bCs/>
                <w:color w:val="000000"/>
                <w:szCs w:val="21"/>
              </w:rPr>
            </w:pPr>
            <w:r>
              <w:rPr>
                <w:rFonts w:hint="eastAsia" w:ascii="仿宋_GB2312" w:hAnsi="仿宋" w:eastAsia="仿宋_GB2312"/>
                <w:b/>
                <w:bCs/>
                <w:color w:val="000000"/>
                <w:szCs w:val="21"/>
              </w:rPr>
              <w:t>准备阶段</w:t>
            </w:r>
          </w:p>
        </w:tc>
      </w:tr>
      <w:tr w14:paraId="524A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6F95FD5B">
            <w:pPr>
              <w:topLinePunct/>
              <w:spacing w:line="276" w:lineRule="auto"/>
              <w:jc w:val="center"/>
              <w:rPr>
                <w:rFonts w:ascii="仿宋_GB2312" w:hAnsi="仿宋" w:eastAsia="仿宋_GB2312"/>
                <w:color w:val="000000"/>
                <w:szCs w:val="21"/>
              </w:rPr>
            </w:pPr>
            <w:r>
              <w:rPr>
                <w:rFonts w:hint="eastAsia" w:ascii="仿宋_GB2312" w:hAnsi="仿宋" w:eastAsia="仿宋_GB2312"/>
                <w:color w:val="000000"/>
                <w:szCs w:val="21"/>
              </w:rPr>
              <w:t>决策延误风险</w:t>
            </w:r>
          </w:p>
        </w:tc>
        <w:tc>
          <w:tcPr>
            <w:tcW w:w="1987" w:type="dxa"/>
            <w:vAlign w:val="center"/>
          </w:tcPr>
          <w:p w14:paraId="68258045">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因政府决策厌恶导致项目推进缓慢</w:t>
            </w:r>
          </w:p>
        </w:tc>
        <w:tc>
          <w:tcPr>
            <w:tcW w:w="2079" w:type="dxa"/>
            <w:vAlign w:val="center"/>
          </w:tcPr>
          <w:p w14:paraId="01B6CCC8">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增加时间成本，可能导致设施无法得到有效运营</w:t>
            </w:r>
          </w:p>
        </w:tc>
        <w:tc>
          <w:tcPr>
            <w:tcW w:w="3926" w:type="dxa"/>
            <w:vAlign w:val="center"/>
          </w:tcPr>
          <w:p w14:paraId="5CDAD5D8">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加强各部门协作，加快项目实施方案审定</w:t>
            </w:r>
          </w:p>
        </w:tc>
      </w:tr>
      <w:tr w14:paraId="0030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13109291">
            <w:pPr>
              <w:topLinePunct/>
              <w:spacing w:line="276" w:lineRule="auto"/>
              <w:jc w:val="center"/>
              <w:rPr>
                <w:rFonts w:ascii="仿宋_GB2312" w:hAnsi="仿宋" w:eastAsia="仿宋_GB2312"/>
                <w:color w:val="000000"/>
                <w:szCs w:val="21"/>
              </w:rPr>
            </w:pPr>
            <w:r>
              <w:rPr>
                <w:rFonts w:hint="eastAsia" w:ascii="仿宋_GB2312" w:hAnsi="仿宋" w:eastAsia="仿宋_GB2312"/>
                <w:color w:val="000000"/>
                <w:szCs w:val="21"/>
              </w:rPr>
              <w:t>市场需求评估风险</w:t>
            </w:r>
          </w:p>
        </w:tc>
        <w:tc>
          <w:tcPr>
            <w:tcW w:w="1987" w:type="dxa"/>
            <w:vAlign w:val="center"/>
          </w:tcPr>
          <w:p w14:paraId="7DD381AA">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农村处理需求评估准确性不足，设施规模太超前或不足</w:t>
            </w:r>
          </w:p>
        </w:tc>
        <w:tc>
          <w:tcPr>
            <w:tcW w:w="2079" w:type="dxa"/>
            <w:vAlign w:val="center"/>
          </w:tcPr>
          <w:p w14:paraId="3622516B">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设施利用率不足或者无法处理超量来水</w:t>
            </w:r>
          </w:p>
        </w:tc>
        <w:tc>
          <w:tcPr>
            <w:tcW w:w="3926" w:type="dxa"/>
            <w:vAlign w:val="center"/>
          </w:tcPr>
          <w:p w14:paraId="5D9A36AF">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本项目各村常住居民较为稳定，设施规模合理。若后续出现较大变动，合同中约定扩建的相关事项</w:t>
            </w:r>
          </w:p>
        </w:tc>
      </w:tr>
      <w:tr w14:paraId="41F3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67C2594A">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成本估算风险</w:t>
            </w:r>
          </w:p>
        </w:tc>
        <w:tc>
          <w:tcPr>
            <w:tcW w:w="1987" w:type="dxa"/>
            <w:vAlign w:val="center"/>
          </w:tcPr>
          <w:p w14:paraId="25E8566F">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重大成本漏项或未考虑未来价格波动</w:t>
            </w:r>
          </w:p>
        </w:tc>
        <w:tc>
          <w:tcPr>
            <w:tcW w:w="2079" w:type="dxa"/>
            <w:vAlign w:val="center"/>
          </w:tcPr>
          <w:p w14:paraId="5D48AD6D">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导致项目财务可行性不足，或暴利情形</w:t>
            </w:r>
          </w:p>
        </w:tc>
        <w:tc>
          <w:tcPr>
            <w:tcW w:w="3926" w:type="dxa"/>
            <w:vAlign w:val="center"/>
          </w:tcPr>
          <w:p w14:paraId="483204EA">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加强项目财务测算，通过公开招标综合评分实现合理低价，设置运营期价格调整机制</w:t>
            </w:r>
          </w:p>
        </w:tc>
      </w:tr>
      <w:tr w14:paraId="68F1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31FA6BF4">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利益相关者协调风险</w:t>
            </w:r>
          </w:p>
        </w:tc>
        <w:tc>
          <w:tcPr>
            <w:tcW w:w="1987" w:type="dxa"/>
            <w:vAlign w:val="center"/>
          </w:tcPr>
          <w:p w14:paraId="6F0C2C41">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项目涉及市区镇政府、村民、企业等多个利益相关者，协调难度大</w:t>
            </w:r>
          </w:p>
        </w:tc>
        <w:tc>
          <w:tcPr>
            <w:tcW w:w="2079" w:type="dxa"/>
            <w:vAlign w:val="center"/>
          </w:tcPr>
          <w:p w14:paraId="410AB7CB">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导致项目推进受阻，或运营单位无法开展实质运营</w:t>
            </w:r>
          </w:p>
        </w:tc>
        <w:tc>
          <w:tcPr>
            <w:tcW w:w="3926" w:type="dxa"/>
            <w:vAlign w:val="center"/>
          </w:tcPr>
          <w:p w14:paraId="5339BC17">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政府加强各级政府利益平衡，加强对污水处理专业化运营的重要性，取得村民、公众的支持</w:t>
            </w:r>
          </w:p>
        </w:tc>
      </w:tr>
      <w:tr w14:paraId="1282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135" w:type="dxa"/>
            <w:gridSpan w:val="4"/>
            <w:shd w:val="clear" w:color="auto" w:fill="D0CECE" w:themeFill="background2" w:themeFillShade="E6"/>
            <w:vAlign w:val="center"/>
          </w:tcPr>
          <w:p w14:paraId="16C4AF36">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建设阶段</w:t>
            </w:r>
          </w:p>
        </w:tc>
      </w:tr>
      <w:tr w14:paraId="683B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2F046905">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总投资控制风险</w:t>
            </w:r>
          </w:p>
        </w:tc>
        <w:tc>
          <w:tcPr>
            <w:tcW w:w="1987" w:type="dxa"/>
            <w:vAlign w:val="center"/>
          </w:tcPr>
          <w:p w14:paraId="573DB97C">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项目投资超过投资估算 </w:t>
            </w:r>
          </w:p>
        </w:tc>
        <w:tc>
          <w:tcPr>
            <w:tcW w:w="2079" w:type="dxa"/>
            <w:vAlign w:val="center"/>
          </w:tcPr>
          <w:p w14:paraId="7601ADA0">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建设资金不足 </w:t>
            </w:r>
          </w:p>
        </w:tc>
        <w:tc>
          <w:tcPr>
            <w:tcW w:w="3926" w:type="dxa"/>
            <w:vAlign w:val="center"/>
          </w:tcPr>
          <w:p w14:paraId="396EBC53">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政府方承担。</w:t>
            </w:r>
            <w:r>
              <w:rPr>
                <w:rFonts w:hint="eastAsia" w:ascii="仿宋_GB2312" w:hAnsi="仿宋" w:eastAsia="仿宋_GB2312"/>
                <w:szCs w:val="21"/>
              </w:rPr>
              <w:t>本项目为TOT项目，项目建设由政府方负责，政府应做好投资控制及建设资金保障。</w:t>
            </w:r>
          </w:p>
        </w:tc>
      </w:tr>
      <w:tr w14:paraId="741B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51188165">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项目建设质量风险</w:t>
            </w:r>
          </w:p>
        </w:tc>
        <w:tc>
          <w:tcPr>
            <w:tcW w:w="1987" w:type="dxa"/>
            <w:vAlign w:val="center"/>
          </w:tcPr>
          <w:p w14:paraId="3428CDFE">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 xml:space="preserve">项目建设质量不达标，存在缺陷 </w:t>
            </w:r>
          </w:p>
        </w:tc>
        <w:tc>
          <w:tcPr>
            <w:tcW w:w="2079" w:type="dxa"/>
            <w:vAlign w:val="center"/>
          </w:tcPr>
          <w:p w14:paraId="1C735BFF">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水质不能达标排放</w:t>
            </w:r>
          </w:p>
        </w:tc>
        <w:tc>
          <w:tcPr>
            <w:tcW w:w="3926" w:type="dxa"/>
            <w:vAlign w:val="center"/>
          </w:tcPr>
          <w:p w14:paraId="109D0D7F">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政府方应加强对建设质量监管，如存在设计建设缺陷的，且在质量保证期内的，应要求施工单位进行整改并完成责任鉴定。项目设施为现状移交，后续相关责任由运营单位承担</w:t>
            </w:r>
          </w:p>
        </w:tc>
      </w:tr>
      <w:tr w14:paraId="26F8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5D720FE7">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 xml:space="preserve">工期延误风险 </w:t>
            </w:r>
          </w:p>
        </w:tc>
        <w:tc>
          <w:tcPr>
            <w:tcW w:w="1987" w:type="dxa"/>
            <w:vAlign w:val="center"/>
          </w:tcPr>
          <w:p w14:paraId="7BD8F864">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项目设施未能按时完工，导致不能及时移交运营单位</w:t>
            </w:r>
          </w:p>
        </w:tc>
        <w:tc>
          <w:tcPr>
            <w:tcW w:w="2079" w:type="dxa"/>
            <w:vAlign w:val="center"/>
          </w:tcPr>
          <w:p w14:paraId="4DBE0E9C">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导致实际运营期缩短</w:t>
            </w:r>
          </w:p>
        </w:tc>
        <w:tc>
          <w:tcPr>
            <w:tcW w:w="3926" w:type="dxa"/>
            <w:vAlign w:val="center"/>
          </w:tcPr>
          <w:p w14:paraId="0F43614C">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建议以实际移交实际为准，运营期相应顺延</w:t>
            </w:r>
          </w:p>
        </w:tc>
      </w:tr>
      <w:tr w14:paraId="1C23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135" w:type="dxa"/>
            <w:gridSpan w:val="4"/>
            <w:shd w:val="clear" w:color="auto" w:fill="D0CECE" w:themeFill="background2" w:themeFillShade="E6"/>
            <w:vAlign w:val="center"/>
          </w:tcPr>
          <w:p w14:paraId="2279223D">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运营阶段</w:t>
            </w:r>
          </w:p>
        </w:tc>
      </w:tr>
      <w:tr w14:paraId="7F23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124A314E">
            <w:pPr>
              <w:topLinePunct/>
              <w:spacing w:line="276" w:lineRule="auto"/>
              <w:jc w:val="center"/>
              <w:rPr>
                <w:rFonts w:ascii="仿宋_GB2312" w:hAnsi="仿宋" w:eastAsia="仿宋_GB2312"/>
                <w:color w:val="000000"/>
                <w:szCs w:val="21"/>
              </w:rPr>
            </w:pPr>
            <w:r>
              <w:rPr>
                <w:rFonts w:hint="eastAsia" w:ascii="仿宋_GB2312" w:hAnsi="仿宋" w:eastAsia="仿宋_GB2312"/>
                <w:color w:val="000000"/>
                <w:szCs w:val="21"/>
              </w:rPr>
              <w:t>项目用地风险</w:t>
            </w:r>
          </w:p>
        </w:tc>
        <w:tc>
          <w:tcPr>
            <w:tcW w:w="1987" w:type="dxa"/>
            <w:vAlign w:val="center"/>
          </w:tcPr>
          <w:p w14:paraId="43523D53">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运营期存在土地使用方面的纠纷或责任</w:t>
            </w:r>
          </w:p>
        </w:tc>
        <w:tc>
          <w:tcPr>
            <w:tcW w:w="2079" w:type="dxa"/>
            <w:vAlign w:val="center"/>
          </w:tcPr>
          <w:p w14:paraId="450777A3">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导致项目运营中断</w:t>
            </w:r>
          </w:p>
        </w:tc>
        <w:tc>
          <w:tcPr>
            <w:tcW w:w="3926" w:type="dxa"/>
            <w:vAlign w:val="center"/>
          </w:tcPr>
          <w:p w14:paraId="4A8583ED">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双方共同协调解决，若是建设用地的问题，则主要由政府承担；若是因运营单位的原因导致违规占用其他用地等，由运营单位承担</w:t>
            </w:r>
          </w:p>
        </w:tc>
      </w:tr>
      <w:tr w14:paraId="1FB3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7CFE5721">
            <w:pPr>
              <w:topLinePunct/>
              <w:spacing w:line="276" w:lineRule="auto"/>
              <w:jc w:val="center"/>
              <w:rPr>
                <w:rFonts w:ascii="仿宋_GB2312" w:hAnsi="仿宋" w:eastAsia="仿宋_GB2312"/>
                <w:color w:val="000000"/>
                <w:szCs w:val="21"/>
              </w:rPr>
            </w:pPr>
            <w:r>
              <w:rPr>
                <w:rFonts w:hint="eastAsia" w:ascii="仿宋_GB2312" w:hAnsi="仿宋" w:eastAsia="仿宋_GB2312"/>
                <w:color w:val="000000"/>
                <w:szCs w:val="21"/>
              </w:rPr>
              <w:t>特许经营转让费筹集不足</w:t>
            </w:r>
          </w:p>
        </w:tc>
        <w:tc>
          <w:tcPr>
            <w:tcW w:w="1987" w:type="dxa"/>
            <w:vAlign w:val="center"/>
          </w:tcPr>
          <w:p w14:paraId="44618B18">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中标单位不能及时足额筹集特许经营转让费</w:t>
            </w:r>
          </w:p>
        </w:tc>
        <w:tc>
          <w:tcPr>
            <w:tcW w:w="2079" w:type="dxa"/>
            <w:vAlign w:val="center"/>
          </w:tcPr>
          <w:p w14:paraId="6D21E62B">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导致项目不能及时生效，甚至因特许经营单位违约，项目废标并承担赔偿</w:t>
            </w:r>
          </w:p>
        </w:tc>
        <w:tc>
          <w:tcPr>
            <w:tcW w:w="3926" w:type="dxa"/>
            <w:vAlign w:val="center"/>
          </w:tcPr>
          <w:p w14:paraId="4887E047">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特许经营单位应在投标前确保资金落实到位</w:t>
            </w:r>
          </w:p>
        </w:tc>
      </w:tr>
      <w:tr w14:paraId="4E21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5421CC50">
            <w:pPr>
              <w:topLinePunct/>
              <w:spacing w:line="276" w:lineRule="auto"/>
              <w:jc w:val="center"/>
              <w:rPr>
                <w:rFonts w:ascii="仿宋_GB2312" w:hAnsi="仿宋" w:eastAsia="仿宋_GB2312"/>
                <w:color w:val="000000"/>
                <w:szCs w:val="21"/>
              </w:rPr>
            </w:pPr>
            <w:r>
              <w:rPr>
                <w:rFonts w:hint="eastAsia" w:ascii="仿宋_GB2312" w:hAnsi="仿宋" w:eastAsia="仿宋_GB2312"/>
                <w:color w:val="000000"/>
                <w:szCs w:val="21"/>
              </w:rPr>
              <w:t>管理效率风险</w:t>
            </w:r>
          </w:p>
        </w:tc>
        <w:tc>
          <w:tcPr>
            <w:tcW w:w="1987" w:type="dxa"/>
            <w:vAlign w:val="center"/>
          </w:tcPr>
          <w:p w14:paraId="2FA80124">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运营单位人才不足、管理能力不足</w:t>
            </w:r>
          </w:p>
        </w:tc>
        <w:tc>
          <w:tcPr>
            <w:tcW w:w="2079" w:type="dxa"/>
            <w:vAlign w:val="center"/>
          </w:tcPr>
          <w:p w14:paraId="5B408104">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导致项目管理效率不高</w:t>
            </w:r>
          </w:p>
        </w:tc>
        <w:tc>
          <w:tcPr>
            <w:tcW w:w="3926" w:type="dxa"/>
            <w:vAlign w:val="center"/>
          </w:tcPr>
          <w:p w14:paraId="54A26678">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公开招标，将运营能力经验作为考核项；设置按效付费机制，督促运营单位加强人才培养提高运营质量；</w:t>
            </w:r>
          </w:p>
          <w:p w14:paraId="7541F8A2">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建立第三方定期评估机制，根据行业通行标准客观评价设施设备维护保养水平，并根据评估结果对其提出改进要求。</w:t>
            </w:r>
          </w:p>
          <w:p w14:paraId="7EEC6665">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设置运营维护履约保函，如运营单位没有按要求及时履行运营维护责任，实施机构可提取保函代为履行。从机制上督促运营单位应切实提供运营管理水平</w:t>
            </w:r>
          </w:p>
        </w:tc>
      </w:tr>
      <w:tr w14:paraId="1562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6801EE18">
            <w:pPr>
              <w:topLinePunct/>
              <w:spacing w:line="276" w:lineRule="auto"/>
              <w:jc w:val="center"/>
              <w:rPr>
                <w:rFonts w:ascii="仿宋_GB2312" w:hAnsi="仿宋" w:eastAsia="仿宋_GB2312"/>
                <w:color w:val="000000"/>
                <w:szCs w:val="21"/>
              </w:rPr>
            </w:pPr>
            <w:r>
              <w:rPr>
                <w:rFonts w:hint="eastAsia" w:ascii="仿宋_GB2312" w:hAnsi="仿宋" w:eastAsia="仿宋_GB2312"/>
                <w:color w:val="000000"/>
                <w:szCs w:val="21"/>
              </w:rPr>
              <w:t>运营成本增加风险</w:t>
            </w:r>
          </w:p>
        </w:tc>
        <w:tc>
          <w:tcPr>
            <w:tcW w:w="1987" w:type="dxa"/>
            <w:vAlign w:val="center"/>
          </w:tcPr>
          <w:p w14:paraId="2D180482">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通货膨胀或重要成本项增长</w:t>
            </w:r>
          </w:p>
        </w:tc>
        <w:tc>
          <w:tcPr>
            <w:tcW w:w="2079" w:type="dxa"/>
            <w:vAlign w:val="center"/>
          </w:tcPr>
          <w:p w14:paraId="0D71B763">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导致项目成本增加</w:t>
            </w:r>
          </w:p>
        </w:tc>
        <w:tc>
          <w:tcPr>
            <w:tcW w:w="3926" w:type="dxa"/>
            <w:vAlign w:val="center"/>
          </w:tcPr>
          <w:p w14:paraId="5E95015E">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设置价格调整机制</w:t>
            </w:r>
          </w:p>
        </w:tc>
      </w:tr>
      <w:tr w14:paraId="67D2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79248113">
            <w:pPr>
              <w:topLinePunct/>
              <w:spacing w:line="276" w:lineRule="auto"/>
              <w:jc w:val="center"/>
              <w:rPr>
                <w:rFonts w:ascii="仿宋_GB2312" w:hAnsi="仿宋" w:eastAsia="仿宋_GB2312"/>
                <w:color w:val="000000"/>
                <w:szCs w:val="21"/>
              </w:rPr>
            </w:pPr>
            <w:r>
              <w:rPr>
                <w:rFonts w:hint="eastAsia" w:ascii="仿宋_GB2312" w:hAnsi="仿宋" w:eastAsia="仿宋_GB2312"/>
                <w:color w:val="000000"/>
                <w:szCs w:val="21"/>
              </w:rPr>
              <w:t>水量超负荷风险</w:t>
            </w:r>
          </w:p>
        </w:tc>
        <w:tc>
          <w:tcPr>
            <w:tcW w:w="1987" w:type="dxa"/>
            <w:vAlign w:val="center"/>
          </w:tcPr>
          <w:p w14:paraId="0878C17F">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污水处理需求过量</w:t>
            </w:r>
          </w:p>
        </w:tc>
        <w:tc>
          <w:tcPr>
            <w:tcW w:w="2079" w:type="dxa"/>
            <w:vAlign w:val="center"/>
          </w:tcPr>
          <w:p w14:paraId="1BA3E7E6">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污水量超过设施处理规模，可能导致无法达标处理</w:t>
            </w:r>
          </w:p>
        </w:tc>
        <w:tc>
          <w:tcPr>
            <w:tcW w:w="3926" w:type="dxa"/>
            <w:vAlign w:val="center"/>
          </w:tcPr>
          <w:p w14:paraId="7A043652">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共同承担。</w:t>
            </w:r>
          </w:p>
          <w:p w14:paraId="0EA4EAD8">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运营单位应在设施尽量发挥设施处理能力，力争达标处理全部来水，确实无法达标处理时，免除运营单位责任。</w:t>
            </w:r>
          </w:p>
        </w:tc>
      </w:tr>
      <w:tr w14:paraId="0126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7F8DD104">
            <w:pPr>
              <w:topLinePunct/>
              <w:spacing w:line="276" w:lineRule="auto"/>
              <w:jc w:val="center"/>
              <w:rPr>
                <w:rFonts w:ascii="仿宋_GB2312" w:hAnsi="仿宋" w:eastAsia="仿宋_GB2312"/>
                <w:color w:val="000000"/>
                <w:szCs w:val="21"/>
              </w:rPr>
            </w:pPr>
            <w:r>
              <w:rPr>
                <w:rFonts w:hint="eastAsia" w:ascii="仿宋_GB2312" w:hAnsi="仿宋" w:eastAsia="仿宋_GB2312"/>
                <w:szCs w:val="21"/>
              </w:rPr>
              <w:t xml:space="preserve">第三方延误/违约 </w:t>
            </w:r>
          </w:p>
        </w:tc>
        <w:tc>
          <w:tcPr>
            <w:tcW w:w="1987" w:type="dxa"/>
            <w:vAlign w:val="center"/>
          </w:tcPr>
          <w:p w14:paraId="7E988527">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指项目相关第三方不履行或拒绝履行合同约定的责任和义务而给项目带来直接或间接的危害 </w:t>
            </w:r>
          </w:p>
        </w:tc>
        <w:tc>
          <w:tcPr>
            <w:tcW w:w="2079" w:type="dxa"/>
            <w:vAlign w:val="center"/>
          </w:tcPr>
          <w:p w14:paraId="3C392F5D">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大修重置延误或质量不佳，也可能引起成本增加 </w:t>
            </w:r>
          </w:p>
        </w:tc>
        <w:tc>
          <w:tcPr>
            <w:tcW w:w="3926" w:type="dxa"/>
            <w:vAlign w:val="center"/>
          </w:tcPr>
          <w:p w14:paraId="78DAE8E9">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获取第三方准确信息，招标挑选最合适的伙伴， 并通过合同管理由第三方承担相应责任 </w:t>
            </w:r>
          </w:p>
        </w:tc>
      </w:tr>
      <w:tr w14:paraId="7159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2F09BCB8">
            <w:pPr>
              <w:topLinePunct/>
              <w:spacing w:line="276" w:lineRule="auto"/>
              <w:jc w:val="center"/>
              <w:rPr>
                <w:rFonts w:ascii="仿宋_GB2312" w:hAnsi="仿宋" w:eastAsia="仿宋_GB2312"/>
                <w:szCs w:val="21"/>
              </w:rPr>
            </w:pPr>
            <w:r>
              <w:rPr>
                <w:rFonts w:hint="eastAsia" w:ascii="仿宋_GB2312" w:hAnsi="仿宋" w:eastAsia="仿宋_GB2312"/>
                <w:szCs w:val="21"/>
              </w:rPr>
              <w:t>大修重置风险</w:t>
            </w:r>
          </w:p>
        </w:tc>
        <w:tc>
          <w:tcPr>
            <w:tcW w:w="1987" w:type="dxa"/>
            <w:vAlign w:val="center"/>
          </w:tcPr>
          <w:p w14:paraId="2399ABB9">
            <w:pPr>
              <w:topLinePunct/>
              <w:spacing w:line="276" w:lineRule="auto"/>
              <w:rPr>
                <w:rFonts w:ascii="仿宋_GB2312" w:hAnsi="仿宋" w:eastAsia="仿宋_GB2312"/>
                <w:szCs w:val="21"/>
              </w:rPr>
            </w:pPr>
            <w:r>
              <w:rPr>
                <w:rFonts w:hint="eastAsia" w:ascii="仿宋_GB2312" w:hAnsi="仿宋" w:eastAsia="仿宋_GB2312"/>
                <w:szCs w:val="21"/>
              </w:rPr>
              <w:t>大修重置责任不明</w:t>
            </w:r>
          </w:p>
        </w:tc>
        <w:tc>
          <w:tcPr>
            <w:tcW w:w="2079" w:type="dxa"/>
            <w:vAlign w:val="center"/>
          </w:tcPr>
          <w:p w14:paraId="595DA51F">
            <w:pPr>
              <w:topLinePunct/>
              <w:spacing w:line="276" w:lineRule="auto"/>
              <w:rPr>
                <w:rFonts w:ascii="仿宋_GB2312" w:hAnsi="仿宋" w:eastAsia="仿宋_GB2312"/>
                <w:szCs w:val="21"/>
              </w:rPr>
            </w:pPr>
            <w:r>
              <w:rPr>
                <w:rFonts w:hint="eastAsia" w:ascii="仿宋_GB2312" w:hAnsi="仿宋" w:eastAsia="仿宋_GB2312"/>
                <w:szCs w:val="21"/>
              </w:rPr>
              <w:t>导致大修重置不及时，影响项目运营</w:t>
            </w:r>
          </w:p>
        </w:tc>
        <w:tc>
          <w:tcPr>
            <w:tcW w:w="3926" w:type="dxa"/>
            <w:vAlign w:val="center"/>
          </w:tcPr>
          <w:p w14:paraId="78946E56">
            <w:pPr>
              <w:topLinePunct/>
              <w:spacing w:line="276" w:lineRule="auto"/>
              <w:rPr>
                <w:rFonts w:ascii="仿宋_GB2312" w:hAnsi="仿宋" w:eastAsia="仿宋_GB2312"/>
                <w:szCs w:val="21"/>
              </w:rPr>
            </w:pPr>
            <w:r>
              <w:rPr>
                <w:rFonts w:hint="eastAsia" w:ascii="仿宋_GB2312" w:hAnsi="仿宋" w:eastAsia="仿宋_GB2312"/>
                <w:szCs w:val="21"/>
              </w:rPr>
              <w:t>合同约定原设施设备的大修与重置由特许经营单位负责</w:t>
            </w:r>
          </w:p>
        </w:tc>
      </w:tr>
      <w:tr w14:paraId="159A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1F119AED">
            <w:pPr>
              <w:topLinePunct/>
              <w:spacing w:line="276" w:lineRule="auto"/>
              <w:jc w:val="center"/>
              <w:rPr>
                <w:rFonts w:ascii="仿宋_GB2312" w:hAnsi="仿宋" w:eastAsia="仿宋_GB2312"/>
                <w:szCs w:val="21"/>
              </w:rPr>
            </w:pPr>
            <w:r>
              <w:rPr>
                <w:rFonts w:hint="eastAsia" w:ascii="仿宋_GB2312" w:hAnsi="仿宋" w:eastAsia="仿宋_GB2312"/>
                <w:szCs w:val="21"/>
              </w:rPr>
              <w:t>技术更新风险</w:t>
            </w:r>
          </w:p>
        </w:tc>
        <w:tc>
          <w:tcPr>
            <w:tcW w:w="1987" w:type="dxa"/>
            <w:vAlign w:val="center"/>
          </w:tcPr>
          <w:p w14:paraId="01712A7A">
            <w:pPr>
              <w:topLinePunct/>
              <w:spacing w:line="276" w:lineRule="auto"/>
              <w:rPr>
                <w:rFonts w:ascii="仿宋_GB2312" w:hAnsi="仿宋" w:eastAsia="仿宋_GB2312"/>
                <w:szCs w:val="21"/>
              </w:rPr>
            </w:pPr>
            <w:r>
              <w:rPr>
                <w:rFonts w:hint="eastAsia" w:ascii="仿宋_GB2312" w:hAnsi="Times New Roman Regular" w:eastAsia="仿宋_GB2312" w:cs="Times New Roman Regular"/>
                <w:color w:val="000000" w:themeColor="text1"/>
                <w:szCs w:val="21"/>
                <w14:textFill>
                  <w14:solidFill>
                    <w14:schemeClr w14:val="tx1"/>
                  </w14:solidFill>
                </w14:textFill>
              </w:rPr>
              <w:t>原设施技术落后</w:t>
            </w:r>
          </w:p>
        </w:tc>
        <w:tc>
          <w:tcPr>
            <w:tcW w:w="2079" w:type="dxa"/>
            <w:vAlign w:val="center"/>
          </w:tcPr>
          <w:p w14:paraId="6D773C85">
            <w:pPr>
              <w:topLinePunct/>
              <w:spacing w:line="276" w:lineRule="auto"/>
              <w:rPr>
                <w:rFonts w:ascii="仿宋_GB2312" w:hAnsi="仿宋" w:eastAsia="仿宋_GB2312"/>
                <w:szCs w:val="21"/>
              </w:rPr>
            </w:pPr>
            <w:r>
              <w:rPr>
                <w:rFonts w:hint="eastAsia" w:ascii="仿宋_GB2312" w:hAnsi="仿宋" w:eastAsia="仿宋_GB2312"/>
                <w:szCs w:val="21"/>
              </w:rPr>
              <w:t>导致无法满足新形势处理要求</w:t>
            </w:r>
          </w:p>
        </w:tc>
        <w:tc>
          <w:tcPr>
            <w:tcW w:w="3926" w:type="dxa"/>
            <w:vAlign w:val="center"/>
          </w:tcPr>
          <w:p w14:paraId="1259AEFC">
            <w:pPr>
              <w:topLinePunct/>
              <w:spacing w:line="276" w:lineRule="auto"/>
              <w:rPr>
                <w:rFonts w:ascii="仿宋_GB2312" w:hAnsi="仿宋" w:eastAsia="仿宋_GB2312"/>
                <w:szCs w:val="21"/>
              </w:rPr>
            </w:pPr>
            <w:r>
              <w:rPr>
                <w:rFonts w:hint="eastAsia" w:ascii="仿宋_GB2312" w:hAnsi="仿宋" w:eastAsia="仿宋_GB2312"/>
                <w:szCs w:val="21"/>
              </w:rPr>
              <w:t>合同约定技术更新改扩建的协商机制</w:t>
            </w:r>
          </w:p>
        </w:tc>
      </w:tr>
      <w:tr w14:paraId="0CAA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6A990917">
            <w:pPr>
              <w:topLinePunct/>
              <w:spacing w:line="276" w:lineRule="auto"/>
              <w:jc w:val="center"/>
              <w:rPr>
                <w:rFonts w:ascii="仿宋_GB2312" w:hAnsi="仿宋" w:eastAsia="仿宋_GB2312"/>
                <w:szCs w:val="21"/>
              </w:rPr>
            </w:pPr>
            <w:r>
              <w:rPr>
                <w:rFonts w:hint="eastAsia" w:ascii="仿宋_GB2312" w:hAnsi="仿宋" w:eastAsia="仿宋_GB2312"/>
                <w:szCs w:val="21"/>
              </w:rPr>
              <w:t>二次污染风险</w:t>
            </w:r>
          </w:p>
        </w:tc>
        <w:tc>
          <w:tcPr>
            <w:tcW w:w="1987" w:type="dxa"/>
            <w:vAlign w:val="center"/>
          </w:tcPr>
          <w:p w14:paraId="0BFEA607">
            <w:pPr>
              <w:topLinePunct/>
              <w:spacing w:line="276" w:lineRule="auto"/>
              <w:rPr>
                <w:rFonts w:ascii="仿宋_GB2312" w:hAnsi="仿宋" w:eastAsia="仿宋_GB2312"/>
                <w:szCs w:val="21"/>
              </w:rPr>
            </w:pPr>
            <w:r>
              <w:rPr>
                <w:rFonts w:hint="eastAsia" w:ascii="仿宋_GB2312" w:hAnsi="仿宋" w:eastAsia="仿宋_GB2312"/>
                <w:szCs w:val="21"/>
              </w:rPr>
              <w:t>水质不达标或污水外溢或污泥处理不当</w:t>
            </w:r>
          </w:p>
        </w:tc>
        <w:tc>
          <w:tcPr>
            <w:tcW w:w="2079" w:type="dxa"/>
            <w:vAlign w:val="center"/>
          </w:tcPr>
          <w:p w14:paraId="433418E2">
            <w:pPr>
              <w:topLinePunct/>
              <w:spacing w:line="276" w:lineRule="auto"/>
              <w:rPr>
                <w:rFonts w:ascii="仿宋_GB2312" w:hAnsi="仿宋" w:eastAsia="仿宋_GB2312"/>
                <w:szCs w:val="21"/>
              </w:rPr>
            </w:pPr>
            <w:r>
              <w:rPr>
                <w:rFonts w:hint="eastAsia" w:ascii="仿宋_GB2312" w:hAnsi="仿宋" w:eastAsia="仿宋_GB2312"/>
                <w:szCs w:val="21"/>
              </w:rPr>
              <w:t>导致环境二次污染</w:t>
            </w:r>
          </w:p>
        </w:tc>
        <w:tc>
          <w:tcPr>
            <w:tcW w:w="3926" w:type="dxa"/>
            <w:vAlign w:val="center"/>
          </w:tcPr>
          <w:p w14:paraId="40AB74BC">
            <w:pPr>
              <w:topLinePunct/>
              <w:spacing w:line="276" w:lineRule="auto"/>
              <w:rPr>
                <w:rFonts w:ascii="仿宋_GB2312" w:hAnsi="仿宋" w:eastAsia="仿宋_GB2312"/>
                <w:szCs w:val="21"/>
              </w:rPr>
            </w:pPr>
            <w:r>
              <w:rPr>
                <w:rFonts w:hint="eastAsia" w:ascii="仿宋_GB2312" w:hAnsi="仿宋" w:eastAsia="仿宋_GB2312"/>
                <w:szCs w:val="21"/>
              </w:rPr>
              <w:t>由运营单位负责，加强监管及惩罚力度</w:t>
            </w:r>
          </w:p>
        </w:tc>
      </w:tr>
      <w:tr w14:paraId="533D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797DD719">
            <w:pPr>
              <w:topLinePunct/>
              <w:spacing w:line="276" w:lineRule="auto"/>
              <w:jc w:val="center"/>
              <w:rPr>
                <w:rFonts w:ascii="仿宋_GB2312" w:hAnsi="仿宋" w:eastAsia="仿宋_GB2312"/>
                <w:szCs w:val="21"/>
              </w:rPr>
            </w:pPr>
            <w:r>
              <w:rPr>
                <w:rFonts w:hint="eastAsia" w:ascii="仿宋_GB2312" w:hAnsi="仿宋" w:eastAsia="仿宋_GB2312"/>
                <w:color w:val="000000"/>
                <w:szCs w:val="21"/>
              </w:rPr>
              <w:t>财务风险</w:t>
            </w:r>
          </w:p>
        </w:tc>
        <w:tc>
          <w:tcPr>
            <w:tcW w:w="1987" w:type="dxa"/>
            <w:vAlign w:val="center"/>
          </w:tcPr>
          <w:p w14:paraId="6BB1C048">
            <w:pPr>
              <w:topLinePunct/>
              <w:spacing w:line="276" w:lineRule="auto"/>
              <w:rPr>
                <w:rFonts w:ascii="仿宋_GB2312" w:hAnsi="仿宋" w:eastAsia="仿宋_GB2312"/>
                <w:szCs w:val="21"/>
              </w:rPr>
            </w:pPr>
            <w:r>
              <w:rPr>
                <w:rFonts w:hint="eastAsia" w:ascii="仿宋_GB2312" w:hAnsi="仿宋" w:eastAsia="仿宋_GB2312"/>
                <w:color w:val="000000"/>
                <w:szCs w:val="21"/>
              </w:rPr>
              <w:t>财务管理不善</w:t>
            </w:r>
          </w:p>
        </w:tc>
        <w:tc>
          <w:tcPr>
            <w:tcW w:w="2079" w:type="dxa"/>
            <w:vAlign w:val="center"/>
          </w:tcPr>
          <w:p w14:paraId="1D2A8112">
            <w:pPr>
              <w:topLinePunct/>
              <w:spacing w:line="276" w:lineRule="auto"/>
              <w:rPr>
                <w:rFonts w:ascii="仿宋_GB2312" w:hAnsi="仿宋" w:eastAsia="仿宋_GB2312"/>
                <w:szCs w:val="21"/>
              </w:rPr>
            </w:pPr>
            <w:r>
              <w:rPr>
                <w:rFonts w:hint="eastAsia" w:ascii="仿宋_GB2312" w:hAnsi="仿宋" w:eastAsia="仿宋_GB2312"/>
                <w:color w:val="000000"/>
                <w:szCs w:val="21"/>
              </w:rPr>
              <w:t>导致项目现金流紧张，影响项目正常运营</w:t>
            </w:r>
          </w:p>
        </w:tc>
        <w:tc>
          <w:tcPr>
            <w:tcW w:w="3926" w:type="dxa"/>
            <w:vAlign w:val="center"/>
          </w:tcPr>
          <w:p w14:paraId="02A64D36">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运营单位承担。</w:t>
            </w:r>
          </w:p>
          <w:p w14:paraId="40ECB089">
            <w:pPr>
              <w:topLinePunct/>
              <w:spacing w:line="276" w:lineRule="auto"/>
              <w:rPr>
                <w:rFonts w:ascii="仿宋_GB2312" w:hAnsi="仿宋" w:eastAsia="仿宋_GB2312"/>
                <w:szCs w:val="21"/>
              </w:rPr>
            </w:pPr>
            <w:r>
              <w:rPr>
                <w:rFonts w:hint="eastAsia" w:ascii="仿宋_GB2312" w:hAnsi="仿宋" w:eastAsia="仿宋_GB2312"/>
                <w:color w:val="000000"/>
                <w:szCs w:val="21"/>
              </w:rPr>
              <w:t>运营单位应加强财务规划和管理，不得将本项目资金或融资资金仅限于本项目使用</w:t>
            </w:r>
          </w:p>
        </w:tc>
      </w:tr>
      <w:tr w14:paraId="3607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749E5D41">
            <w:pPr>
              <w:topLinePunct/>
              <w:spacing w:line="276" w:lineRule="auto"/>
              <w:jc w:val="center"/>
              <w:rPr>
                <w:rFonts w:ascii="仿宋_GB2312" w:hAnsi="仿宋" w:eastAsia="仿宋_GB2312"/>
                <w:szCs w:val="21"/>
              </w:rPr>
            </w:pPr>
            <w:r>
              <w:rPr>
                <w:rFonts w:hint="eastAsia" w:ascii="仿宋_GB2312" w:hAnsi="仿宋" w:eastAsia="仿宋_GB2312"/>
                <w:szCs w:val="21"/>
              </w:rPr>
              <w:t>公众满意度风险</w:t>
            </w:r>
          </w:p>
        </w:tc>
        <w:tc>
          <w:tcPr>
            <w:tcW w:w="1987" w:type="dxa"/>
            <w:vAlign w:val="center"/>
          </w:tcPr>
          <w:p w14:paraId="7A6C8371">
            <w:pPr>
              <w:topLinePunct/>
              <w:spacing w:line="276" w:lineRule="auto"/>
              <w:rPr>
                <w:rFonts w:ascii="仿宋_GB2312" w:hAnsi="仿宋" w:eastAsia="仿宋_GB2312"/>
                <w:szCs w:val="21"/>
              </w:rPr>
            </w:pPr>
            <w:r>
              <w:rPr>
                <w:rFonts w:hint="eastAsia" w:ascii="仿宋_GB2312" w:hAnsi="仿宋" w:eastAsia="仿宋_GB2312"/>
                <w:szCs w:val="21"/>
              </w:rPr>
              <w:t>因污水处理或环境影响导致公众不满意</w:t>
            </w:r>
          </w:p>
        </w:tc>
        <w:tc>
          <w:tcPr>
            <w:tcW w:w="2079" w:type="dxa"/>
            <w:vAlign w:val="center"/>
          </w:tcPr>
          <w:p w14:paraId="2FFB7792">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影响项目正常运营，增加项目协调成本</w:t>
            </w:r>
          </w:p>
        </w:tc>
        <w:tc>
          <w:tcPr>
            <w:tcW w:w="3926" w:type="dxa"/>
            <w:vAlign w:val="center"/>
          </w:tcPr>
          <w:p w14:paraId="5D26D6B5">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加强公众监督，重视宣传</w:t>
            </w:r>
          </w:p>
        </w:tc>
      </w:tr>
      <w:tr w14:paraId="7497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6265A504">
            <w:pPr>
              <w:topLinePunct/>
              <w:spacing w:line="276" w:lineRule="auto"/>
              <w:jc w:val="center"/>
              <w:rPr>
                <w:rFonts w:ascii="仿宋_GB2312" w:hAnsi="仿宋" w:eastAsia="仿宋_GB2312"/>
                <w:color w:val="000000"/>
                <w:szCs w:val="21"/>
              </w:rPr>
            </w:pPr>
            <w:r>
              <w:rPr>
                <w:rFonts w:hint="eastAsia" w:ascii="仿宋_GB2312" w:hAnsi="仿宋" w:eastAsia="仿宋_GB2312"/>
                <w:szCs w:val="21"/>
              </w:rPr>
              <w:t xml:space="preserve">税收调整 </w:t>
            </w:r>
          </w:p>
        </w:tc>
        <w:tc>
          <w:tcPr>
            <w:tcW w:w="1987" w:type="dxa"/>
            <w:vAlign w:val="center"/>
          </w:tcPr>
          <w:p w14:paraId="70787CA4">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税收政策的调整 </w:t>
            </w:r>
          </w:p>
        </w:tc>
        <w:tc>
          <w:tcPr>
            <w:tcW w:w="2079" w:type="dxa"/>
            <w:vAlign w:val="center"/>
          </w:tcPr>
          <w:p w14:paraId="595298E3">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项目收益增加或降低 </w:t>
            </w:r>
          </w:p>
        </w:tc>
        <w:tc>
          <w:tcPr>
            <w:tcW w:w="3926" w:type="dxa"/>
            <w:vAlign w:val="center"/>
          </w:tcPr>
          <w:p w14:paraId="50C0194D">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根据税收变化相应增加或减少政府付费 </w:t>
            </w:r>
          </w:p>
        </w:tc>
      </w:tr>
      <w:tr w14:paraId="0C0B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725031BD">
            <w:pPr>
              <w:topLinePunct/>
              <w:spacing w:line="276" w:lineRule="auto"/>
              <w:jc w:val="center"/>
              <w:rPr>
                <w:rFonts w:ascii="仿宋_GB2312" w:hAnsi="仿宋" w:eastAsia="仿宋_GB2312"/>
                <w:szCs w:val="21"/>
              </w:rPr>
            </w:pPr>
            <w:r>
              <w:rPr>
                <w:rFonts w:hint="eastAsia" w:ascii="仿宋_GB2312" w:hAnsi="仿宋" w:eastAsia="仿宋_GB2312"/>
                <w:szCs w:val="21"/>
              </w:rPr>
              <w:t>运营标准调整</w:t>
            </w:r>
          </w:p>
        </w:tc>
        <w:tc>
          <w:tcPr>
            <w:tcW w:w="1987" w:type="dxa"/>
            <w:vAlign w:val="center"/>
          </w:tcPr>
          <w:p w14:paraId="09912350">
            <w:pPr>
              <w:topLinePunct/>
              <w:spacing w:line="276" w:lineRule="auto"/>
              <w:rPr>
                <w:rFonts w:ascii="仿宋_GB2312" w:hAnsi="仿宋" w:eastAsia="仿宋_GB2312"/>
                <w:szCs w:val="21"/>
              </w:rPr>
            </w:pPr>
            <w:r>
              <w:rPr>
                <w:rFonts w:hint="eastAsia" w:ascii="仿宋_GB2312" w:hAnsi="仿宋" w:eastAsia="仿宋_GB2312"/>
                <w:szCs w:val="21"/>
              </w:rPr>
              <w:t>运营规范及标准调整</w:t>
            </w:r>
          </w:p>
        </w:tc>
        <w:tc>
          <w:tcPr>
            <w:tcW w:w="2079" w:type="dxa"/>
            <w:vAlign w:val="center"/>
          </w:tcPr>
          <w:p w14:paraId="20046D16">
            <w:pPr>
              <w:topLinePunct/>
              <w:spacing w:line="276" w:lineRule="auto"/>
              <w:rPr>
                <w:rFonts w:ascii="仿宋_GB2312" w:hAnsi="仿宋" w:eastAsia="仿宋_GB2312"/>
                <w:szCs w:val="21"/>
              </w:rPr>
            </w:pPr>
            <w:r>
              <w:rPr>
                <w:rFonts w:hint="eastAsia" w:ascii="仿宋_GB2312" w:hAnsi="仿宋" w:eastAsia="仿宋_GB2312"/>
                <w:szCs w:val="21"/>
              </w:rPr>
              <w:t>项目收益增加或降低 ，严重项目本身工艺无法满足达到新要求</w:t>
            </w:r>
          </w:p>
        </w:tc>
        <w:tc>
          <w:tcPr>
            <w:tcW w:w="3926" w:type="dxa"/>
            <w:vAlign w:val="center"/>
          </w:tcPr>
          <w:p w14:paraId="64D9A13C">
            <w:pPr>
              <w:topLinePunct/>
              <w:spacing w:line="276" w:lineRule="auto"/>
              <w:rPr>
                <w:rFonts w:ascii="仿宋_GB2312" w:hAnsi="仿宋" w:eastAsia="仿宋_GB2312"/>
                <w:szCs w:val="21"/>
              </w:rPr>
            </w:pPr>
            <w:r>
              <w:rPr>
                <w:rFonts w:hint="eastAsia" w:ascii="仿宋_GB2312" w:hAnsi="仿宋" w:eastAsia="仿宋_GB2312"/>
                <w:szCs w:val="21"/>
              </w:rPr>
              <w:t>协商谈判，调整付费或者提标改造</w:t>
            </w:r>
          </w:p>
        </w:tc>
      </w:tr>
      <w:tr w14:paraId="0800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29F4404D">
            <w:pPr>
              <w:topLinePunct/>
              <w:spacing w:line="276" w:lineRule="auto"/>
              <w:jc w:val="center"/>
              <w:rPr>
                <w:rFonts w:ascii="仿宋_GB2312" w:hAnsi="仿宋" w:eastAsia="仿宋_GB2312"/>
                <w:color w:val="000000"/>
                <w:szCs w:val="21"/>
              </w:rPr>
            </w:pPr>
            <w:r>
              <w:rPr>
                <w:rFonts w:hint="eastAsia" w:ascii="仿宋_GB2312" w:hAnsi="仿宋" w:eastAsia="仿宋_GB2312"/>
                <w:szCs w:val="21"/>
              </w:rPr>
              <w:t xml:space="preserve">法律变更 </w:t>
            </w:r>
          </w:p>
        </w:tc>
        <w:tc>
          <w:tcPr>
            <w:tcW w:w="1987" w:type="dxa"/>
            <w:vAlign w:val="center"/>
          </w:tcPr>
          <w:p w14:paraId="1A539DAC">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适用本项目的法律法规发生了变更 </w:t>
            </w:r>
          </w:p>
        </w:tc>
        <w:tc>
          <w:tcPr>
            <w:tcW w:w="2079" w:type="dxa"/>
            <w:vAlign w:val="center"/>
          </w:tcPr>
          <w:p w14:paraId="14D47ED8">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对项目的建设和运营带来更高要求 </w:t>
            </w:r>
          </w:p>
        </w:tc>
        <w:tc>
          <w:tcPr>
            <w:tcW w:w="3926" w:type="dxa"/>
            <w:vAlign w:val="center"/>
          </w:tcPr>
          <w:p w14:paraId="3712D027">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政府方承担。</w:t>
            </w:r>
          </w:p>
          <w:p w14:paraId="67C83E09">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法律变更、上级政府政策变更风险由政府方承担，但不视为违约。</w:t>
            </w:r>
            <w:r>
              <w:rPr>
                <w:rFonts w:hint="eastAsia" w:ascii="仿宋_GB2312" w:hAnsi="仿宋" w:eastAsia="仿宋_GB2312"/>
                <w:szCs w:val="21"/>
              </w:rPr>
              <w:t xml:space="preserve">因法律变更导致特许经营单位增加的费用超过一定的额度由政府给予补偿 </w:t>
            </w:r>
          </w:p>
        </w:tc>
      </w:tr>
      <w:tr w14:paraId="2181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135" w:type="dxa"/>
            <w:gridSpan w:val="4"/>
            <w:shd w:val="clear" w:color="auto" w:fill="D0CECE" w:themeFill="background2" w:themeFillShade="E6"/>
            <w:vAlign w:val="center"/>
          </w:tcPr>
          <w:p w14:paraId="1FB5EE3E">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移交阶段</w:t>
            </w:r>
          </w:p>
        </w:tc>
      </w:tr>
      <w:tr w14:paraId="3E6A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7F5469C5">
            <w:pPr>
              <w:topLinePunct/>
              <w:spacing w:line="276" w:lineRule="auto"/>
              <w:jc w:val="center"/>
              <w:rPr>
                <w:rFonts w:ascii="仿宋_GB2312" w:hAnsi="仿宋" w:eastAsia="仿宋_GB2312"/>
                <w:color w:val="000000"/>
                <w:szCs w:val="21"/>
              </w:rPr>
            </w:pPr>
            <w:r>
              <w:rPr>
                <w:rFonts w:hint="eastAsia" w:ascii="仿宋_GB2312" w:hAnsi="Times New Roman Regular" w:eastAsia="仿宋_GB2312" w:cs="Times New Roman Regular"/>
                <w:color w:val="000000" w:themeColor="text1"/>
                <w:szCs w:val="21"/>
                <w14:textFill>
                  <w14:solidFill>
                    <w14:schemeClr w14:val="tx1"/>
                  </w14:solidFill>
                </w14:textFill>
              </w:rPr>
              <w:t>设备设施完整性风险</w:t>
            </w:r>
          </w:p>
        </w:tc>
        <w:tc>
          <w:tcPr>
            <w:tcW w:w="1987" w:type="dxa"/>
            <w:vAlign w:val="center"/>
          </w:tcPr>
          <w:p w14:paraId="646AAED0">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移交设备老旧质量差</w:t>
            </w:r>
          </w:p>
        </w:tc>
        <w:tc>
          <w:tcPr>
            <w:tcW w:w="2079" w:type="dxa"/>
            <w:vAlign w:val="center"/>
          </w:tcPr>
          <w:p w14:paraId="6BC15254">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影响项目后续正常运行</w:t>
            </w:r>
          </w:p>
        </w:tc>
        <w:tc>
          <w:tcPr>
            <w:tcW w:w="3926" w:type="dxa"/>
            <w:vAlign w:val="center"/>
          </w:tcPr>
          <w:p w14:paraId="72804883">
            <w:pPr>
              <w:topLinePunct/>
              <w:spacing w:line="276" w:lineRule="auto"/>
              <w:rPr>
                <w:rFonts w:ascii="仿宋_GB2312" w:hAnsi="仿宋" w:eastAsia="仿宋_GB2312"/>
                <w:color w:val="000000"/>
                <w:szCs w:val="21"/>
              </w:rPr>
            </w:pPr>
            <w:r>
              <w:rPr>
                <w:rFonts w:hint="eastAsia" w:ascii="仿宋_GB2312" w:hAnsi="Times New Roman Regular" w:eastAsia="仿宋_GB2312" w:cs="Times New Roman Regular"/>
                <w:color w:val="000000" w:themeColor="text1"/>
                <w:szCs w:val="21"/>
                <w14:textFill>
                  <w14:solidFill>
                    <w14:schemeClr w14:val="tx1"/>
                  </w14:solidFill>
                </w14:textFill>
              </w:rPr>
              <w:t>要求运营单位在移交前进行恢复性大修；移交前提交移交保函，如设备不能正常运行，将提取保函进行修复</w:t>
            </w:r>
          </w:p>
        </w:tc>
      </w:tr>
      <w:tr w14:paraId="43FC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2278BABC">
            <w:pPr>
              <w:topLinePunct/>
              <w:spacing w:line="276" w:lineRule="auto"/>
              <w:jc w:val="center"/>
              <w:rPr>
                <w:rFonts w:ascii="仿宋_GB2312" w:hAnsi="仿宋" w:eastAsia="仿宋_GB2312"/>
                <w:color w:val="000000"/>
                <w:szCs w:val="21"/>
              </w:rPr>
            </w:pPr>
            <w:r>
              <w:rPr>
                <w:rFonts w:hint="eastAsia" w:ascii="仿宋_GB2312" w:hAnsi="Times New Roman Regular" w:eastAsia="仿宋_GB2312" w:cs="Times New Roman Regular"/>
                <w:color w:val="000000" w:themeColor="text1"/>
                <w:szCs w:val="21"/>
                <w14:textFill>
                  <w14:solidFill>
                    <w14:schemeClr w14:val="tx1"/>
                  </w14:solidFill>
                </w14:textFill>
              </w:rPr>
              <w:t>技术资料交接风险</w:t>
            </w:r>
          </w:p>
        </w:tc>
        <w:tc>
          <w:tcPr>
            <w:tcW w:w="1987" w:type="dxa"/>
            <w:vAlign w:val="center"/>
          </w:tcPr>
          <w:p w14:paraId="0CA08D93">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技术资料移交不完整，特别是一些专利授权等</w:t>
            </w:r>
          </w:p>
        </w:tc>
        <w:tc>
          <w:tcPr>
            <w:tcW w:w="2079" w:type="dxa"/>
            <w:vAlign w:val="center"/>
          </w:tcPr>
          <w:p w14:paraId="0663FAA0">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后续运营管理带来困难</w:t>
            </w:r>
          </w:p>
        </w:tc>
        <w:tc>
          <w:tcPr>
            <w:tcW w:w="3926" w:type="dxa"/>
            <w:vAlign w:val="center"/>
          </w:tcPr>
          <w:p w14:paraId="449284C5">
            <w:pPr>
              <w:topLinePunct/>
              <w:spacing w:line="276" w:lineRule="auto"/>
              <w:rPr>
                <w:rFonts w:ascii="仿宋_GB2312" w:hAnsi="仿宋" w:eastAsia="仿宋_GB2312"/>
                <w:color w:val="000000"/>
                <w:szCs w:val="21"/>
              </w:rPr>
            </w:pPr>
            <w:r>
              <w:rPr>
                <w:rFonts w:hint="eastAsia" w:ascii="仿宋_GB2312" w:hAnsi="Times New Roman Regular" w:eastAsia="仿宋_GB2312" w:cs="Times New Roman Regular"/>
                <w:color w:val="000000" w:themeColor="text1"/>
                <w:szCs w:val="21"/>
                <w14:textFill>
                  <w14:solidFill>
                    <w14:schemeClr w14:val="tx1"/>
                  </w14:solidFill>
                </w14:textFill>
              </w:rPr>
              <w:t>列出技术资料移交清单，要求授予相关专利使用权，或续签软件使用权</w:t>
            </w:r>
          </w:p>
        </w:tc>
      </w:tr>
      <w:tr w14:paraId="1568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43EFF93E">
            <w:pPr>
              <w:topLinePunct/>
              <w:spacing w:line="276" w:lineRule="auto"/>
              <w:jc w:val="center"/>
              <w:rPr>
                <w:rFonts w:ascii="仿宋_GB2312" w:hAnsi="仿宋" w:eastAsia="仿宋_GB2312"/>
                <w:szCs w:val="21"/>
              </w:rPr>
            </w:pPr>
            <w:r>
              <w:rPr>
                <w:rFonts w:hint="eastAsia" w:ascii="仿宋_GB2312" w:hAnsi="Times New Roman Regular" w:eastAsia="仿宋_GB2312" w:cs="Times New Roman Regular"/>
                <w:color w:val="000000" w:themeColor="text1"/>
                <w:szCs w:val="21"/>
                <w14:textFill>
                  <w14:solidFill>
                    <w14:schemeClr w14:val="tx1"/>
                  </w14:solidFill>
                </w14:textFill>
              </w:rPr>
              <w:t>遗留环境问题风险：</w:t>
            </w:r>
          </w:p>
        </w:tc>
        <w:tc>
          <w:tcPr>
            <w:tcW w:w="1987" w:type="dxa"/>
            <w:vAlign w:val="center"/>
          </w:tcPr>
          <w:p w14:paraId="6839A799">
            <w:pPr>
              <w:topLinePunct/>
              <w:spacing w:line="276" w:lineRule="auto"/>
              <w:rPr>
                <w:rFonts w:ascii="仿宋_GB2312" w:hAnsi="仿宋" w:eastAsia="仿宋_GB2312"/>
                <w:szCs w:val="21"/>
              </w:rPr>
            </w:pPr>
            <w:r>
              <w:rPr>
                <w:rFonts w:hint="eastAsia" w:ascii="仿宋_GB2312" w:hAnsi="仿宋" w:eastAsia="仿宋_GB2312"/>
                <w:szCs w:val="21"/>
              </w:rPr>
              <w:t>移交时对项目周边环境造成了破坏</w:t>
            </w:r>
          </w:p>
        </w:tc>
        <w:tc>
          <w:tcPr>
            <w:tcW w:w="2079" w:type="dxa"/>
            <w:vAlign w:val="center"/>
          </w:tcPr>
          <w:p w14:paraId="06DF7DE4">
            <w:pPr>
              <w:topLinePunct/>
              <w:spacing w:line="276" w:lineRule="auto"/>
              <w:rPr>
                <w:rFonts w:ascii="仿宋_GB2312" w:hAnsi="仿宋" w:eastAsia="仿宋_GB2312"/>
                <w:szCs w:val="21"/>
              </w:rPr>
            </w:pPr>
            <w:r>
              <w:rPr>
                <w:rFonts w:hint="eastAsia" w:ascii="仿宋_GB2312" w:hAnsi="仿宋" w:eastAsia="仿宋_GB2312"/>
                <w:szCs w:val="21"/>
              </w:rPr>
              <w:t>后续修复成本增加</w:t>
            </w:r>
          </w:p>
        </w:tc>
        <w:tc>
          <w:tcPr>
            <w:tcW w:w="3926" w:type="dxa"/>
            <w:vAlign w:val="center"/>
          </w:tcPr>
          <w:p w14:paraId="46ED371F">
            <w:pPr>
              <w:topLinePunct/>
              <w:spacing w:line="276" w:lineRule="auto"/>
              <w:rPr>
                <w:rFonts w:ascii="仿宋_GB2312" w:hAnsi="仿宋" w:eastAsia="仿宋_GB2312"/>
                <w:szCs w:val="21"/>
              </w:rPr>
            </w:pPr>
            <w:r>
              <w:rPr>
                <w:rFonts w:hint="eastAsia" w:ascii="仿宋_GB2312" w:hAnsi="Times New Roman Regular" w:eastAsia="仿宋_GB2312" w:cs="Times New Roman Regular"/>
                <w:color w:val="000000" w:themeColor="text1"/>
                <w:szCs w:val="21"/>
                <w14:textFill>
                  <w14:solidFill>
                    <w14:schemeClr w14:val="tx1"/>
                  </w14:solidFill>
                </w14:textFill>
              </w:rPr>
              <w:t>可对周边土壤、水环境进行检测，如有环境遗留问题，则应鉴定责任</w:t>
            </w:r>
          </w:p>
        </w:tc>
      </w:tr>
      <w:tr w14:paraId="3CF2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618EC6BB">
            <w:pPr>
              <w:topLinePunct/>
              <w:spacing w:line="276" w:lineRule="auto"/>
              <w:jc w:val="center"/>
              <w:rPr>
                <w:rFonts w:ascii="仿宋_GB2312" w:hAnsi="仿宋" w:eastAsia="仿宋_GB2312"/>
                <w:color w:val="000000"/>
                <w:szCs w:val="21"/>
              </w:rPr>
            </w:pPr>
            <w:r>
              <w:rPr>
                <w:rFonts w:hint="eastAsia" w:ascii="仿宋_GB2312" w:hAnsi="Times New Roman Regular" w:eastAsia="仿宋_GB2312" w:cs="Times New Roman Regular"/>
                <w:color w:val="000000" w:themeColor="text1"/>
                <w:szCs w:val="21"/>
                <w14:textFill>
                  <w14:solidFill>
                    <w14:schemeClr w14:val="tx1"/>
                  </w14:solidFill>
                </w14:textFill>
              </w:rPr>
              <w:t>移交费用争议风险</w:t>
            </w:r>
          </w:p>
        </w:tc>
        <w:tc>
          <w:tcPr>
            <w:tcW w:w="1987" w:type="dxa"/>
            <w:vAlign w:val="center"/>
          </w:tcPr>
          <w:p w14:paraId="3D6AE454">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移交保函的提取、修复成本的承担等问题</w:t>
            </w:r>
          </w:p>
        </w:tc>
        <w:tc>
          <w:tcPr>
            <w:tcW w:w="2079" w:type="dxa"/>
            <w:vAlign w:val="center"/>
          </w:tcPr>
          <w:p w14:paraId="48C62FAD">
            <w:pPr>
              <w:topLinePunct/>
              <w:spacing w:line="276" w:lineRule="auto"/>
              <w:rPr>
                <w:rFonts w:ascii="仿宋_GB2312" w:hAnsi="仿宋" w:eastAsia="仿宋_GB2312"/>
                <w:color w:val="000000"/>
                <w:szCs w:val="21"/>
              </w:rPr>
            </w:pPr>
            <w:r>
              <w:rPr>
                <w:rFonts w:hint="eastAsia" w:ascii="仿宋_GB2312" w:hAnsi="仿宋" w:eastAsia="仿宋_GB2312"/>
                <w:color w:val="000000"/>
                <w:szCs w:val="21"/>
              </w:rPr>
              <w:t>移交难以顺利进行</w:t>
            </w:r>
          </w:p>
        </w:tc>
        <w:tc>
          <w:tcPr>
            <w:tcW w:w="3926" w:type="dxa"/>
            <w:vAlign w:val="center"/>
          </w:tcPr>
          <w:p w14:paraId="761FCC6C">
            <w:pPr>
              <w:topLinePunct/>
              <w:spacing w:line="276" w:lineRule="auto"/>
              <w:rPr>
                <w:rFonts w:ascii="仿宋_GB2312" w:hAnsi="仿宋" w:eastAsia="仿宋_GB2312"/>
                <w:color w:val="000000"/>
                <w:szCs w:val="21"/>
              </w:rPr>
            </w:pPr>
            <w:r>
              <w:rPr>
                <w:rFonts w:hint="eastAsia" w:ascii="仿宋_GB2312" w:hAnsi="Times New Roman Regular" w:eastAsia="仿宋_GB2312" w:cs="Times New Roman Regular"/>
                <w:color w:val="000000" w:themeColor="text1"/>
                <w:szCs w:val="21"/>
                <w14:textFill>
                  <w14:solidFill>
                    <w14:schemeClr w14:val="tx1"/>
                  </w14:solidFill>
                </w14:textFill>
              </w:rPr>
              <w:t>合同明确移交程序和争议解决机制</w:t>
            </w:r>
          </w:p>
        </w:tc>
      </w:tr>
      <w:tr w14:paraId="6B2D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135" w:type="dxa"/>
            <w:gridSpan w:val="4"/>
            <w:shd w:val="clear" w:color="auto" w:fill="D0CECE" w:themeFill="background2" w:themeFillShade="E6"/>
            <w:vAlign w:val="center"/>
          </w:tcPr>
          <w:p w14:paraId="342E317D">
            <w:pPr>
              <w:topLinePunct/>
              <w:spacing w:line="276" w:lineRule="auto"/>
              <w:rPr>
                <w:rFonts w:ascii="仿宋_GB2312" w:hAnsi="仿宋" w:eastAsia="仿宋_GB2312"/>
                <w:szCs w:val="21"/>
              </w:rPr>
            </w:pPr>
            <w:r>
              <w:rPr>
                <w:rFonts w:hint="eastAsia" w:ascii="仿宋_GB2312" w:hAnsi="仿宋" w:eastAsia="仿宋_GB2312"/>
                <w:szCs w:val="21"/>
              </w:rPr>
              <w:t>不可抗力风险</w:t>
            </w:r>
          </w:p>
        </w:tc>
      </w:tr>
      <w:tr w14:paraId="1A34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47FC58F7">
            <w:pPr>
              <w:topLinePunct/>
              <w:spacing w:line="276" w:lineRule="auto"/>
              <w:jc w:val="center"/>
              <w:rPr>
                <w:rFonts w:ascii="仿宋_GB2312" w:hAnsi="仿宋" w:eastAsia="仿宋_GB2312"/>
                <w:color w:val="000000"/>
                <w:szCs w:val="21"/>
              </w:rPr>
            </w:pPr>
            <w:r>
              <w:rPr>
                <w:rFonts w:hint="eastAsia" w:ascii="仿宋_GB2312" w:hAnsi="仿宋" w:eastAsia="仿宋_GB2312"/>
                <w:szCs w:val="21"/>
              </w:rPr>
              <w:t xml:space="preserve">自然灾害 </w:t>
            </w:r>
          </w:p>
        </w:tc>
        <w:tc>
          <w:tcPr>
            <w:tcW w:w="1987" w:type="dxa"/>
            <w:vAlign w:val="center"/>
          </w:tcPr>
          <w:p w14:paraId="36EDCAC8">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包括：洪水、风暴、地震、雷击、火灾等 </w:t>
            </w:r>
          </w:p>
        </w:tc>
        <w:tc>
          <w:tcPr>
            <w:tcW w:w="2079" w:type="dxa"/>
            <w:vAlign w:val="center"/>
          </w:tcPr>
          <w:p w14:paraId="5B892655">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项目建设运营受到影响 </w:t>
            </w:r>
          </w:p>
        </w:tc>
        <w:tc>
          <w:tcPr>
            <w:tcW w:w="3926" w:type="dxa"/>
            <w:vAlign w:val="center"/>
          </w:tcPr>
          <w:p w14:paraId="37907641">
            <w:pPr>
              <w:pStyle w:val="38"/>
              <w:spacing w:line="276" w:lineRule="auto"/>
              <w:rPr>
                <w:rFonts w:ascii="仿宋_GB2312" w:hAnsi="仿宋" w:eastAsia="仿宋_GB2312"/>
                <w:sz w:val="21"/>
                <w:szCs w:val="21"/>
              </w:rPr>
            </w:pPr>
            <w:r>
              <w:rPr>
                <w:rFonts w:hint="eastAsia" w:ascii="仿宋_GB2312" w:hAnsi="仿宋" w:eastAsia="仿宋_GB2312"/>
                <w:sz w:val="21"/>
                <w:szCs w:val="21"/>
              </w:rPr>
              <w:t xml:space="preserve">豁免特许经营单位责任；购买保险。 </w:t>
            </w:r>
          </w:p>
          <w:p w14:paraId="3C155A41">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除去保险赔偿后，造成的损失政府和特许经营单位按5:5 的比例承担。 </w:t>
            </w:r>
          </w:p>
        </w:tc>
      </w:tr>
      <w:tr w14:paraId="6831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621842A4">
            <w:pPr>
              <w:topLinePunct/>
              <w:spacing w:line="276" w:lineRule="auto"/>
              <w:jc w:val="center"/>
              <w:rPr>
                <w:rFonts w:ascii="仿宋_GB2312" w:hAnsi="仿宋" w:eastAsia="仿宋_GB2312"/>
                <w:color w:val="000000"/>
                <w:szCs w:val="21"/>
              </w:rPr>
            </w:pPr>
            <w:r>
              <w:rPr>
                <w:rFonts w:hint="eastAsia" w:ascii="仿宋_GB2312" w:hAnsi="仿宋" w:eastAsia="仿宋_GB2312"/>
                <w:szCs w:val="21"/>
              </w:rPr>
              <w:t xml:space="preserve">上级政府行为 </w:t>
            </w:r>
          </w:p>
        </w:tc>
        <w:tc>
          <w:tcPr>
            <w:tcW w:w="1987" w:type="dxa"/>
            <w:vAlign w:val="center"/>
          </w:tcPr>
          <w:p w14:paraId="57C16D43">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上级政府对项目的征用 </w:t>
            </w:r>
          </w:p>
        </w:tc>
        <w:tc>
          <w:tcPr>
            <w:tcW w:w="2079" w:type="dxa"/>
            <w:vAlign w:val="center"/>
          </w:tcPr>
          <w:p w14:paraId="32897B75">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项目提前终止 </w:t>
            </w:r>
          </w:p>
        </w:tc>
        <w:tc>
          <w:tcPr>
            <w:tcW w:w="3926" w:type="dxa"/>
            <w:vAlign w:val="center"/>
          </w:tcPr>
          <w:p w14:paraId="5F52025B">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政府对特许经营单位适当补偿 </w:t>
            </w:r>
          </w:p>
        </w:tc>
      </w:tr>
      <w:tr w14:paraId="2370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43" w:type="dxa"/>
            <w:vAlign w:val="center"/>
          </w:tcPr>
          <w:p w14:paraId="45B768D6">
            <w:pPr>
              <w:topLinePunct/>
              <w:spacing w:line="276" w:lineRule="auto"/>
              <w:jc w:val="center"/>
              <w:rPr>
                <w:rFonts w:ascii="仿宋_GB2312" w:hAnsi="仿宋" w:eastAsia="仿宋_GB2312"/>
                <w:color w:val="000000"/>
                <w:szCs w:val="21"/>
              </w:rPr>
            </w:pPr>
            <w:r>
              <w:rPr>
                <w:rFonts w:hint="eastAsia" w:ascii="仿宋_GB2312" w:hAnsi="仿宋" w:eastAsia="仿宋_GB2312"/>
                <w:color w:val="000000"/>
                <w:szCs w:val="21"/>
              </w:rPr>
              <w:t>重大社会事件</w:t>
            </w:r>
          </w:p>
        </w:tc>
        <w:tc>
          <w:tcPr>
            <w:tcW w:w="1987" w:type="dxa"/>
            <w:vAlign w:val="center"/>
          </w:tcPr>
          <w:p w14:paraId="283DA9C4">
            <w:pPr>
              <w:topLinePunct/>
              <w:spacing w:line="276" w:lineRule="auto"/>
              <w:rPr>
                <w:rFonts w:ascii="仿宋_GB2312" w:hAnsi="仿宋" w:eastAsia="仿宋_GB2312"/>
                <w:color w:val="000000"/>
                <w:szCs w:val="21"/>
              </w:rPr>
            </w:pPr>
            <w:r>
              <w:rPr>
                <w:rFonts w:hint="eastAsia" w:ascii="仿宋_GB2312" w:hAnsi="仿宋" w:eastAsia="仿宋_GB2312"/>
                <w:szCs w:val="21"/>
              </w:rPr>
              <w:t>战争、疫情、非项目引起是罢工等</w:t>
            </w:r>
          </w:p>
        </w:tc>
        <w:tc>
          <w:tcPr>
            <w:tcW w:w="2079" w:type="dxa"/>
            <w:vAlign w:val="center"/>
          </w:tcPr>
          <w:p w14:paraId="60A69DBE">
            <w:pPr>
              <w:topLinePunct/>
              <w:spacing w:line="276" w:lineRule="auto"/>
              <w:rPr>
                <w:rFonts w:ascii="仿宋_GB2312" w:hAnsi="仿宋" w:eastAsia="仿宋_GB2312"/>
                <w:color w:val="000000"/>
                <w:szCs w:val="21"/>
              </w:rPr>
            </w:pPr>
            <w:r>
              <w:rPr>
                <w:rFonts w:hint="eastAsia" w:ascii="仿宋_GB2312" w:hAnsi="仿宋" w:eastAsia="仿宋_GB2312"/>
                <w:szCs w:val="21"/>
              </w:rPr>
              <w:t xml:space="preserve">项目运营受到影响 </w:t>
            </w:r>
          </w:p>
        </w:tc>
        <w:tc>
          <w:tcPr>
            <w:tcW w:w="3926" w:type="dxa"/>
            <w:vAlign w:val="center"/>
          </w:tcPr>
          <w:p w14:paraId="72FE5E2F">
            <w:pPr>
              <w:topLinePunct/>
              <w:spacing w:line="276" w:lineRule="auto"/>
              <w:rPr>
                <w:rFonts w:ascii="仿宋_GB2312" w:hAnsi="仿宋" w:eastAsia="仿宋_GB2312"/>
                <w:color w:val="000000"/>
                <w:szCs w:val="21"/>
              </w:rPr>
            </w:pPr>
            <w:r>
              <w:rPr>
                <w:rFonts w:hint="eastAsia" w:ascii="仿宋_GB2312" w:hAnsi="仿宋" w:eastAsia="仿宋_GB2312"/>
                <w:szCs w:val="21"/>
              </w:rPr>
              <w:t>购买保险，除去保险赔偿后，造成的损失政府和特许经营单位按5:5 的比例承担</w:t>
            </w:r>
          </w:p>
        </w:tc>
      </w:tr>
      <w:bookmarkEnd w:id="249"/>
    </w:tbl>
    <w:p w14:paraId="12666D88">
      <w:pPr>
        <w:pStyle w:val="17"/>
        <w:widowControl/>
        <w:shd w:val="clear" w:color="auto" w:fill="FFFFFF"/>
        <w:spacing w:beforeAutospacing="0" w:afterAutospacing="0"/>
        <w:ind w:firstLine="560" w:firstLineChars="200"/>
        <w:jc w:val="center"/>
        <w:rPr>
          <w:rFonts w:ascii="Times New Roman Regular" w:hAnsi="Times New Roman Regular" w:eastAsia="仿宋" w:cs="Times New Roman Regular"/>
          <w:color w:val="000000" w:themeColor="text1"/>
          <w:sz w:val="28"/>
          <w:szCs w:val="28"/>
          <w14:textFill>
            <w14:solidFill>
              <w14:schemeClr w14:val="tx1"/>
            </w14:solidFill>
          </w14:textFill>
        </w:rPr>
      </w:pPr>
    </w:p>
    <w:p w14:paraId="5E7F5B30">
      <w:pPr>
        <w:pStyle w:val="5"/>
      </w:pPr>
      <w:bookmarkStart w:id="250" w:name="_Toc19790"/>
      <w:r>
        <w:t>2、控制风险的其他建议</w:t>
      </w:r>
      <w:bookmarkEnd w:id="250"/>
    </w:p>
    <w:p w14:paraId="56DA194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51" w:name="_Toc11009"/>
      <w:r>
        <w:rPr>
          <w:rFonts w:ascii="Times New Roman Regular" w:hAnsi="Times New Roman Regular" w:eastAsia="仿宋_GB2312" w:cs="Times New Roman Regular"/>
          <w:color w:val="000000" w:themeColor="text1"/>
          <w:sz w:val="28"/>
          <w:szCs w:val="28"/>
          <w14:textFill>
            <w14:solidFill>
              <w14:schemeClr w14:val="tx1"/>
            </w14:solidFill>
          </w14:textFill>
        </w:rPr>
        <w:t>本项目应对策略主要包括：风险回避、风险自留、风险控制、风险转移。其主要含义为：</w:t>
      </w:r>
      <w:bookmarkEnd w:id="251"/>
    </w:p>
    <w:p w14:paraId="0809892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52" w:name="_Toc24724"/>
      <w:r>
        <w:rPr>
          <w:rFonts w:ascii="Times New Roman Regular" w:hAnsi="Times New Roman Regular" w:eastAsia="仿宋_GB2312" w:cs="Times New Roman Regular"/>
          <w:color w:val="000000" w:themeColor="text1"/>
          <w:sz w:val="28"/>
          <w:szCs w:val="28"/>
          <w14:textFill>
            <w14:solidFill>
              <w14:schemeClr w14:val="tx1"/>
            </w14:solidFill>
          </w14:textFill>
        </w:rPr>
        <w:t>（1）风险回避是指在完成项目风险分析与评价后,如果发现项目风险发生的概率很高,而且可能的损失也很大,又没有其他有效的对策来降低风险时,应采取放弃项目、放弃原有计划或改变目标等方法,使其不发生或不再发展,从而避免可能发生的潜在损失;</w:t>
      </w:r>
      <w:bookmarkEnd w:id="252"/>
    </w:p>
    <w:p w14:paraId="70DF390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53" w:name="_Toc4298"/>
      <w:r>
        <w:rPr>
          <w:rFonts w:ascii="Times New Roman Regular" w:hAnsi="Times New Roman Regular" w:eastAsia="仿宋_GB2312" w:cs="Times New Roman Regular"/>
          <w:color w:val="000000" w:themeColor="text1"/>
          <w:sz w:val="28"/>
          <w:szCs w:val="28"/>
          <w14:textFill>
            <w14:solidFill>
              <w14:schemeClr w14:val="tx1"/>
            </w14:solidFill>
          </w14:textFill>
        </w:rPr>
        <w:t>（2）风险自留是指项目风险保留在风险管理主体内部,通过采取内部控制措施来化解风险或者对这些保留下来的项目风险不采取任何措施;</w:t>
      </w:r>
      <w:bookmarkEnd w:id="253"/>
    </w:p>
    <w:p w14:paraId="3E9C245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54" w:name="_Toc5767"/>
      <w:r>
        <w:rPr>
          <w:rFonts w:ascii="Times New Roman Regular" w:hAnsi="Times New Roman Regular" w:eastAsia="仿宋_GB2312" w:cs="Times New Roman Regular"/>
          <w:color w:val="000000" w:themeColor="text1"/>
          <w:sz w:val="28"/>
          <w:szCs w:val="28"/>
          <w14:textFill>
            <w14:solidFill>
              <w14:schemeClr w14:val="tx1"/>
            </w14:solidFill>
          </w14:textFill>
        </w:rPr>
        <w:t>（3）风险控制指采取一种主动、积极的风险对策，可分为预防损失和减少损失两个方面，风险控制方案都应当是预防损失措施和减少损失措施的有机结合，风险控制计划系统一般应由预防计划、灾难计划和应急计划三部分组成;</w:t>
      </w:r>
      <w:bookmarkEnd w:id="254"/>
    </w:p>
    <w:p w14:paraId="072B63F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55" w:name="_Toc26278"/>
      <w:r>
        <w:rPr>
          <w:rFonts w:ascii="Times New Roman Regular" w:hAnsi="Times New Roman Regular" w:eastAsia="仿宋_GB2312" w:cs="Times New Roman Regular"/>
          <w:color w:val="000000" w:themeColor="text1"/>
          <w:sz w:val="28"/>
          <w:szCs w:val="28"/>
          <w14:textFill>
            <w14:solidFill>
              <w14:schemeClr w14:val="tx1"/>
            </w14:solidFill>
          </w14:textFill>
        </w:rPr>
        <w:t>（4）当有些风险无法回避,必须直接面对,而以自身的承受能力又无法有效的承担时，通过某种方式将某些风险的后果连同应对的权利和责任转移给他人。</w:t>
      </w:r>
      <w:bookmarkEnd w:id="255"/>
    </w:p>
    <w:p w14:paraId="785C4657">
      <w:pPr>
        <w:pStyle w:val="4"/>
      </w:pPr>
      <w:bookmarkStart w:id="256" w:name="_Toc188530568"/>
      <w:r>
        <w:rPr>
          <w:rFonts w:hint="eastAsia"/>
        </w:rPr>
        <w:t>（九）政府承诺和保障</w:t>
      </w:r>
      <w:bookmarkEnd w:id="256"/>
    </w:p>
    <w:p w14:paraId="5A001B0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（一）</w:t>
      </w:r>
      <w:r>
        <w:rPr>
          <w:rFonts w:ascii="Times New Roman Regular" w:hAnsi="Times New Roman Regular" w:eastAsia="仿宋_GB2312" w:cs="Times New Roman Regular"/>
          <w:color w:val="000000" w:themeColor="text1"/>
          <w:sz w:val="28"/>
          <w:szCs w:val="28"/>
          <w14:textFill>
            <w14:solidFill>
              <w14:schemeClr w14:val="tx1"/>
            </w14:solidFill>
          </w14:textFill>
        </w:rPr>
        <w:t>政府方负责协调特许经营</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单位</w:t>
      </w:r>
      <w:r>
        <w:rPr>
          <w:rFonts w:ascii="Times New Roman Regular" w:hAnsi="Times New Roman Regular" w:eastAsia="仿宋_GB2312" w:cs="Times New Roman Regular"/>
          <w:color w:val="000000" w:themeColor="text1"/>
          <w:sz w:val="28"/>
          <w:szCs w:val="28"/>
          <w14:textFill>
            <w14:solidFill>
              <w14:schemeClr w14:val="tx1"/>
            </w14:solidFill>
          </w14:textFill>
        </w:rPr>
        <w:t>与相关政府部门的关系，协调各项行政审批手续的申报和审批工作，协助特许经营权人取得项目实施过程中所需的许可、执照和政府批准。</w:t>
      </w:r>
    </w:p>
    <w:p w14:paraId="5119DD8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（二）</w:t>
      </w:r>
      <w:r>
        <w:rPr>
          <w:rFonts w:ascii="Times New Roman Regular" w:hAnsi="Times New Roman Regular" w:eastAsia="仿宋_GB2312" w:cs="Times New Roman Regular"/>
          <w:color w:val="000000" w:themeColor="text1"/>
          <w:sz w:val="28"/>
          <w:szCs w:val="28"/>
          <w14:textFill>
            <w14:solidFill>
              <w14:schemeClr w14:val="tx1"/>
            </w14:solidFill>
          </w14:textFill>
        </w:rPr>
        <w:t>政府方保证特许经营权人的经营权在整个特许经营合作期限内始终有效，维护经营权的完整性和独占性，合作期内不以任何方式将经营权授予第三者或终止经营权，或者以任何方式减少经营权的内容或妨碍经营权的行使，特许经营权人违约的情形除外。</w:t>
      </w:r>
    </w:p>
    <w:p w14:paraId="6854FCF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（三）</w:t>
      </w:r>
      <w:r>
        <w:rPr>
          <w:rFonts w:ascii="Times New Roman Regular" w:hAnsi="Times New Roman Regular" w:eastAsia="仿宋_GB2312" w:cs="Times New Roman Regular"/>
          <w:color w:val="000000" w:themeColor="text1"/>
          <w:sz w:val="28"/>
          <w:szCs w:val="28"/>
          <w14:textFill>
            <w14:solidFill>
              <w14:schemeClr w14:val="tx1"/>
            </w14:solidFill>
          </w14:textFill>
        </w:rPr>
        <w:t>合作期届满后，政府方及时接收项目的所有权利、所有权和权益的移交。</w:t>
      </w:r>
    </w:p>
    <w:p w14:paraId="2D5C6D6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p>
    <w:p w14:paraId="26A5E6D3">
      <w:pPr>
        <w:pStyle w:val="4"/>
      </w:pPr>
      <w:bookmarkStart w:id="257" w:name="_Toc560"/>
      <w:bookmarkStart w:id="258" w:name="_Toc25882"/>
      <w:bookmarkStart w:id="259" w:name="_Toc9466"/>
      <w:bookmarkStart w:id="260" w:name="_Toc188530569"/>
      <w:r>
        <w:rPr>
          <w:rFonts w:hint="eastAsia"/>
        </w:rPr>
        <w:t>（十）</w:t>
      </w:r>
      <w:r>
        <w:t>调整、变更等其他要求</w:t>
      </w:r>
      <w:bookmarkEnd w:id="257"/>
      <w:bookmarkEnd w:id="258"/>
      <w:bookmarkEnd w:id="259"/>
      <w:bookmarkEnd w:id="260"/>
    </w:p>
    <w:p w14:paraId="248057DC">
      <w:pPr>
        <w:pStyle w:val="5"/>
      </w:pPr>
      <w:bookmarkStart w:id="261" w:name="_Toc9690"/>
      <w:r>
        <w:t>1、</w:t>
      </w:r>
      <w:r>
        <w:rPr>
          <w:rFonts w:hint="eastAsia"/>
        </w:rPr>
        <w:t>项目前期工作及费用承担</w:t>
      </w:r>
    </w:p>
    <w:p w14:paraId="0D2A988D">
      <w:pPr>
        <w:numPr>
          <w:ilvl w:val="255"/>
          <w:numId w:val="0"/>
        </w:numPr>
        <w:rPr>
          <w:rFonts w:ascii="仿宋" w:hAnsi="仿宋" w:eastAsia="仿宋" w:cs="仿宋"/>
          <w:sz w:val="28"/>
          <w:szCs w:val="32"/>
        </w:rPr>
      </w:pPr>
      <w:r>
        <w:rPr>
          <w:rFonts w:hint="eastAsia" w:ascii="仿宋" w:hAnsi="仿宋" w:eastAsia="仿宋" w:cs="仿宋"/>
          <w:sz w:val="28"/>
          <w:szCs w:val="32"/>
        </w:rPr>
        <w:t xml:space="preserve">   本项目为TOT项目，原则上项目建设阶段的所有风险及责任由实施机构承担，包括但不限于规划选址、可研设计、工程款支付、竣工验收等，以及为推进本项目开展的咨询论证评估工作，相关费用也由实施机构承担。但本项目特许经营单位招标代理费约5万元，由特许经营单位承担。</w:t>
      </w:r>
    </w:p>
    <w:p w14:paraId="15E0740A">
      <w:pPr>
        <w:pStyle w:val="5"/>
      </w:pPr>
      <w:bookmarkStart w:id="262" w:name="OLE_LINK9"/>
      <w:r>
        <w:rPr>
          <w:rFonts w:hint="eastAsia"/>
        </w:rPr>
        <w:t>2、关于运营设施局部调整</w:t>
      </w:r>
    </w:p>
    <w:bookmarkEnd w:id="262"/>
    <w:p w14:paraId="27BAE190">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rPr>
        <w:t>因湘桥区农村污水治理是个系统大工程，本方案暂列的5</w:t>
      </w:r>
      <w:r>
        <w:rPr>
          <w:rFonts w:ascii="仿宋" w:hAnsi="仿宋" w:eastAsia="仿宋" w:cs="仿宋"/>
          <w:sz w:val="28"/>
          <w:szCs w:val="32"/>
        </w:rPr>
        <w:t>2</w:t>
      </w:r>
      <w:r>
        <w:rPr>
          <w:rFonts w:hint="eastAsia" w:ascii="仿宋" w:hAnsi="仿宋" w:eastAsia="仿宋" w:cs="仿宋"/>
          <w:sz w:val="28"/>
          <w:szCs w:val="32"/>
        </w:rPr>
        <w:t>个项目后续可能存在局部调整。若纳厂管渠长度与目前确定的3</w:t>
      </w:r>
      <w:r>
        <w:rPr>
          <w:rFonts w:ascii="仿宋" w:hAnsi="仿宋" w:eastAsia="仿宋" w:cs="仿宋"/>
          <w:sz w:val="28"/>
          <w:szCs w:val="32"/>
        </w:rPr>
        <w:t>4Km</w:t>
      </w:r>
      <w:r>
        <w:rPr>
          <w:rFonts w:hint="eastAsia" w:ascii="仿宋" w:hAnsi="仿宋" w:eastAsia="仿宋" w:cs="仿宋"/>
          <w:sz w:val="28"/>
          <w:szCs w:val="32"/>
        </w:rPr>
        <w:t>有增减的，按1</w:t>
      </w:r>
      <w:r>
        <w:rPr>
          <w:rFonts w:ascii="仿宋" w:hAnsi="仿宋" w:eastAsia="仿宋" w:cs="仿宋"/>
          <w:sz w:val="28"/>
          <w:szCs w:val="32"/>
        </w:rPr>
        <w:t>.2</w:t>
      </w:r>
      <w:r>
        <w:rPr>
          <w:rFonts w:hint="eastAsia" w:ascii="仿宋" w:hAnsi="仿宋" w:eastAsia="仿宋" w:cs="仿宋"/>
          <w:sz w:val="28"/>
          <w:szCs w:val="32"/>
        </w:rPr>
        <w:t>万元/</w:t>
      </w:r>
      <w:r>
        <w:rPr>
          <w:rFonts w:ascii="仿宋" w:hAnsi="仿宋" w:eastAsia="仿宋" w:cs="仿宋"/>
          <w:sz w:val="28"/>
          <w:szCs w:val="32"/>
        </w:rPr>
        <w:t>km</w:t>
      </w:r>
      <w:r>
        <w:rPr>
          <w:rFonts w:hint="eastAsia" w:ascii="仿宋" w:hAnsi="仿宋" w:eastAsia="仿宋" w:cs="仿宋"/>
          <w:sz w:val="28"/>
          <w:szCs w:val="32"/>
        </w:rPr>
        <w:t xml:space="preserve"> </w:t>
      </w:r>
      <w:r>
        <w:rPr>
          <w:rFonts w:hint="eastAsia" w:ascii="微软雅黑" w:hAnsi="微软雅黑" w:eastAsia="微软雅黑" w:cs="微软雅黑"/>
          <w:sz w:val="28"/>
          <w:szCs w:val="32"/>
        </w:rPr>
        <w:t>•</w:t>
      </w:r>
      <w:r>
        <w:rPr>
          <w:rFonts w:hint="eastAsia" w:ascii="仿宋" w:hAnsi="仿宋" w:eastAsia="仿宋" w:cs="仿宋"/>
          <w:sz w:val="28"/>
          <w:szCs w:val="32"/>
        </w:rPr>
        <w:t>年的单价乘以增加或者减少长度，相应增加或减少年度服务费金额。</w:t>
      </w:r>
    </w:p>
    <w:p w14:paraId="52528CC1">
      <w:pPr>
        <w:pStyle w:val="5"/>
      </w:pPr>
      <w:r>
        <w:t>3</w:t>
      </w:r>
      <w:r>
        <w:rPr>
          <w:rFonts w:hint="eastAsia"/>
        </w:rPr>
        <w:t>、关于特许经营转让费的支付</w:t>
      </w:r>
    </w:p>
    <w:p w14:paraId="3FF8DA8A">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本项目特许经营协议签订之日起1个月内，特许经营单位应向湘桥区政府支付全部的特许经营权转让费，否则视为特许经营单位违约，实施机构有权向其收取违约金。逾期</w:t>
      </w:r>
      <w:r>
        <w:rPr>
          <w:rFonts w:ascii="Times New Roman Regular" w:hAnsi="Times New Roman Regular" w:eastAsia="仿宋_GB2312" w:cs="Times New Roman Regular"/>
          <w:color w:val="000000" w:themeColor="text1"/>
          <w:sz w:val="28"/>
          <w:szCs w:val="28"/>
          <w14:textFill>
            <w14:solidFill>
              <w14:schemeClr w14:val="tx1"/>
            </w14:solidFill>
          </w14:textFill>
        </w:rPr>
        <w:t>2</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个月仍不能支付全部特许经营权转让费的，则属于严重违约情形，实施机构有权终止特许经营项目，并追究违约责任。</w:t>
      </w:r>
    </w:p>
    <w:p w14:paraId="4594F110">
      <w:pPr>
        <w:pStyle w:val="5"/>
      </w:pPr>
      <w:r>
        <w:rPr>
          <w:rFonts w:hint="eastAsia"/>
        </w:rPr>
        <w:t>4、</w:t>
      </w:r>
      <w:r>
        <w:t>协议变更和延期</w:t>
      </w:r>
      <w:bookmarkEnd w:id="261"/>
    </w:p>
    <w:p w14:paraId="0B39064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63" w:name="_Toc22483"/>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若协议条文有未尽事宜、意义不明或因不可抗力事件的发生或因政策、法律、情势变更致协议的履行依其原有效果显失公平，在不对协议进行实质变更的前提下，经双方同意后可予以修正或补充。涉及协议内容有实质性变更的，实施机构应按程序报区政府批准后实行。</w:t>
      </w:r>
    </w:p>
    <w:p w14:paraId="7DF0C66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在以下情形下，可考虑对协议进行修订：</w:t>
      </w:r>
      <w:bookmarkEnd w:id="263"/>
    </w:p>
    <w:p w14:paraId="18F95F1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64" w:name="_Toc11144"/>
      <w:r>
        <w:rPr>
          <w:rFonts w:ascii="Times New Roman Regular" w:hAnsi="Times New Roman Regular" w:eastAsia="仿宋_GB2312" w:cs="Times New Roman Regular"/>
          <w:color w:val="000000" w:themeColor="text1"/>
          <w:sz w:val="28"/>
          <w:szCs w:val="28"/>
          <w14:textFill>
            <w14:solidFill>
              <w14:schemeClr w14:val="tx1"/>
            </w14:solidFill>
          </w14:textFill>
        </w:rPr>
        <w:t>（1）适用法律的变化，影响任一方主要权利义务的；</w:t>
      </w:r>
      <w:bookmarkEnd w:id="264"/>
    </w:p>
    <w:p w14:paraId="31C1322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65" w:name="_Toc17553"/>
      <w:r>
        <w:rPr>
          <w:rFonts w:ascii="Times New Roman Regular" w:hAnsi="Times New Roman Regular" w:eastAsia="仿宋_GB2312" w:cs="Times New Roman Regular"/>
          <w:color w:val="000000" w:themeColor="text1"/>
          <w:sz w:val="28"/>
          <w:szCs w:val="28"/>
          <w14:textFill>
            <w14:solidFill>
              <w14:schemeClr w14:val="tx1"/>
            </w14:solidFill>
          </w14:textFill>
        </w:rPr>
        <w:t>（2）国家、行业及地方有关</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污水</w:t>
      </w:r>
      <w:r>
        <w:rPr>
          <w:rFonts w:ascii="Times New Roman Regular" w:hAnsi="Times New Roman Regular" w:eastAsia="仿宋_GB2312" w:cs="Times New Roman Regular"/>
          <w:color w:val="000000" w:themeColor="text1"/>
          <w:sz w:val="28"/>
          <w:szCs w:val="28"/>
          <w14:textFill>
            <w14:solidFill>
              <w14:schemeClr w14:val="tx1"/>
            </w14:solidFill>
          </w14:textFill>
        </w:rPr>
        <w:t>处理工艺变化、维养方面的标准提高；</w:t>
      </w:r>
      <w:bookmarkEnd w:id="265"/>
    </w:p>
    <w:p w14:paraId="5BAD91E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66" w:name="_Toc20587"/>
      <w:r>
        <w:rPr>
          <w:rFonts w:ascii="Times New Roman Regular" w:hAnsi="Times New Roman Regular" w:eastAsia="仿宋_GB2312" w:cs="Times New Roman Regular"/>
          <w:color w:val="000000" w:themeColor="text1"/>
          <w:sz w:val="28"/>
          <w:szCs w:val="28"/>
          <w14:textFill>
            <w14:solidFill>
              <w14:schemeClr w14:val="tx1"/>
            </w14:solidFill>
          </w14:textFill>
        </w:rPr>
        <w:t>（3）因不可抗力或非因合同任一方的原因，导致合同部分条款无法履行；</w:t>
      </w:r>
      <w:bookmarkEnd w:id="266"/>
    </w:p>
    <w:p w14:paraId="424A624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67" w:name="_Toc465"/>
      <w:r>
        <w:rPr>
          <w:rFonts w:ascii="Times New Roman Regular" w:hAnsi="Times New Roman Regular" w:eastAsia="仿宋_GB2312" w:cs="Times New Roman Regular"/>
          <w:color w:val="000000" w:themeColor="text1"/>
          <w:sz w:val="28"/>
          <w:szCs w:val="28"/>
          <w14:textFill>
            <w14:solidFill>
              <w14:schemeClr w14:val="tx1"/>
            </w14:solidFill>
          </w14:textFill>
        </w:rPr>
        <w:t>（4）其他因情况发生变化，双方协商一致同意的。</w:t>
      </w:r>
    </w:p>
    <w:p w14:paraId="2CC32A4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在以下情形发生的情况下，协议双方可以考虑将合同期限适当延长A、政府财政预算调整导致政府财政支付能力受到影响；B、特许经营单位在经营期履约记录良好，在符合届时法律规定的前提下，双方协商一致同意合同展期。</w:t>
      </w:r>
      <w:bookmarkEnd w:id="267"/>
    </w:p>
    <w:p w14:paraId="486ECBAF">
      <w:pPr>
        <w:pStyle w:val="5"/>
      </w:pPr>
      <w:bookmarkStart w:id="268" w:name="_Toc21798"/>
      <w:r>
        <w:t>5、政府临时接管和征用</w:t>
      </w:r>
      <w:bookmarkEnd w:id="268"/>
    </w:p>
    <w:p w14:paraId="0AB247C2">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69" w:name="_Toc29678"/>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为促进本项目的顺利实施，由于项目公司自身原因导致其对本项目履约能力严重不足或丧失履约能力，无法保障项目建设和运营实施时，政府方有对项目进行临时接管的权利。项目公司有下列行为之一的，市水务局报经深圳市人民政府批准，可对本项目实施临时接管：</w:t>
      </w:r>
    </w:p>
    <w:p w14:paraId="74778F9A">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擅自转让、出租特许经营权的。</w:t>
      </w:r>
    </w:p>
    <w:p w14:paraId="29CCF4A4">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存在重大安全隐患且拒不整改，危及或者可能危及公共利益、公共安全的。</w:t>
      </w:r>
    </w:p>
    <w:p w14:paraId="36D20E6C">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因资金不到位、自身管理不善发生重大质量、生产安全事故或</w:t>
      </w:r>
      <w:r>
        <w:rPr>
          <w:rFonts w:ascii="Times New Roman Regular" w:hAnsi="Times New Roman Regular" w:eastAsia="仿宋_GB2312" w:cs="Times New Roman Regular"/>
          <w:color w:val="000000" w:themeColor="text1"/>
          <w:sz w:val="28"/>
          <w:szCs w:val="28"/>
          <w14:textFill>
            <w14:solidFill>
              <w14:schemeClr w14:val="tx1"/>
            </w14:solidFill>
          </w14:textFill>
        </w:rPr>
        <w:t>项目设施严重损毁</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的。</w:t>
      </w:r>
    </w:p>
    <w:p w14:paraId="33800CB8">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擅自停业、歇业，严重影响社会公共利益和公共安全的。</w:t>
      </w:r>
    </w:p>
    <w:p w14:paraId="5274AD42">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被依法注销、关停的。</w:t>
      </w:r>
    </w:p>
    <w:p w14:paraId="6127A294">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擅自处分项目资产的，导致本项目不能正常运营的。</w:t>
      </w:r>
    </w:p>
    <w:p w14:paraId="4894ED4B">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被依法注销、关停的，或法人主体资格终止或撤销的。</w:t>
      </w:r>
    </w:p>
    <w:p w14:paraId="146034CF">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中国法律、法规、规章等规定的导致政府方对项目公司进行接管的其他情形。</w:t>
      </w:r>
    </w:p>
    <w:p w14:paraId="49D6A584">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项目公司的股权被司法机关采取冻结、查封、执行措施的。</w:t>
      </w:r>
    </w:p>
    <w:p w14:paraId="4A989B42">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因特经营单位选择的供应商等原因严重影响项目运营，导致特许经营单位对本项目履约能力严重不足或丧失履约能力的。</w:t>
      </w:r>
    </w:p>
    <w:p w14:paraId="5B8918CE">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特许经营单位年度运营绩效考核平均得分在60分以下的。</w:t>
      </w:r>
    </w:p>
    <w:p w14:paraId="35896AE8">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在任何一个运营年，除经批准的项目设施正常大修期间外，在进水达标的情况下出水未达到出水水质标准的情况总共超过二十（20）个运营日。</w:t>
      </w:r>
    </w:p>
    <w:p w14:paraId="73D7187A">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因特许经营单位的原因，导致本项目被环保部门责令停止运行的。</w:t>
      </w:r>
    </w:p>
    <w:p w14:paraId="1DD2E421">
      <w:pPr>
        <w:pStyle w:val="17"/>
        <w:widowControl/>
        <w:numPr>
          <w:ilvl w:val="0"/>
          <w:numId w:val="2"/>
        </w:numPr>
        <w:shd w:val="clear" w:color="auto" w:fill="FFFFFF"/>
        <w:spacing w:beforeAutospacing="0" w:afterAutospacing="0"/>
        <w:ind w:left="709" w:firstLine="56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其他因特许经营单位自身原因导致本项目无法正常建设</w:t>
      </w:r>
      <w:r>
        <w:rPr>
          <w:rFonts w:ascii="Times New Roman Regular" w:hAnsi="Times New Roman Regular" w:eastAsia="仿宋_GB2312" w:cs="Times New Roman Regular"/>
          <w:color w:val="000000" w:themeColor="text1"/>
          <w:sz w:val="28"/>
          <w:szCs w:val="28"/>
          <w14:textFill>
            <w14:solidFill>
              <w14:schemeClr w14:val="tx1"/>
            </w14:solidFill>
          </w14:textFill>
        </w:rPr>
        <w:t>或</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运营的</w:t>
      </w:r>
      <w:r>
        <w:rPr>
          <w:rFonts w:ascii="Times New Roman Regular" w:hAnsi="Times New Roman Regular" w:eastAsia="仿宋_GB2312" w:cs="Times New Roman Regular"/>
          <w:color w:val="000000" w:themeColor="text1"/>
          <w:sz w:val="28"/>
          <w:szCs w:val="28"/>
          <w14:textFill>
            <w14:solidFill>
              <w14:schemeClr w14:val="tx1"/>
            </w14:solidFill>
          </w14:textFill>
        </w:rPr>
        <w:t>。</w:t>
      </w:r>
    </w:p>
    <w:p w14:paraId="3E86775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临时接管产生的费用应由特许经营单位承担。</w:t>
      </w:r>
    </w:p>
    <w:p w14:paraId="674483ED">
      <w:pPr>
        <w:pStyle w:val="5"/>
      </w:pPr>
      <w:r>
        <w:t>6、项目移交或提前退出</w:t>
      </w:r>
      <w:bookmarkEnd w:id="269"/>
    </w:p>
    <w:p w14:paraId="4A85FBE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70" w:name="_Toc14723"/>
      <w:r>
        <w:rPr>
          <w:rFonts w:ascii="Times New Roman Regular" w:hAnsi="Times New Roman Regular" w:eastAsia="仿宋_GB2312" w:cs="Times New Roman Regular"/>
          <w:color w:val="000000" w:themeColor="text1"/>
          <w:sz w:val="28"/>
          <w:szCs w:val="28"/>
          <w14:textFill>
            <w14:solidFill>
              <w14:schemeClr w14:val="tx1"/>
            </w14:solidFill>
          </w14:textFill>
        </w:rPr>
        <w:t>特许经营期满，特许经营单位应将本项目的所有权益、运营和维护项目设施所必需的技术文件、与第三方的合同及移交所需的文件等完好、无偿移交给</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实施机构</w:t>
      </w:r>
      <w:r>
        <w:rPr>
          <w:rFonts w:ascii="Times New Roman Regular" w:hAnsi="Times New Roman Regular" w:eastAsia="仿宋_GB2312" w:cs="Times New Roman Regular"/>
          <w:color w:val="000000" w:themeColor="text1"/>
          <w:sz w:val="28"/>
          <w:szCs w:val="28"/>
          <w14:textFill>
            <w14:solidFill>
              <w14:schemeClr w14:val="tx1"/>
            </w14:solidFill>
          </w14:textFill>
        </w:rPr>
        <w:t>或其指定机构。移交前，特许经营单位应对项目设施进行一次恢复性大修；特许经营单位与实施机构应成立移交工作小组，就移交范围清单、移交小组工作程序、合同转移、技术转让、缺陷责任期等事项达成一致。项目移交时，项目设施外观质量基本满足应满足相应法规规范中确定的质量评定标准，与竣工验收文件确定的验收意见基本一致，不存在明显工程质量缺陷、损坏；在移交工作完成前，特许经营单位应继续履行运营职责，维持污水处理</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设施</w:t>
      </w:r>
      <w:r>
        <w:rPr>
          <w:rFonts w:ascii="Times New Roman Regular" w:hAnsi="Times New Roman Regular" w:eastAsia="仿宋_GB2312" w:cs="Times New Roman Regular"/>
          <w:color w:val="000000" w:themeColor="text1"/>
          <w:sz w:val="28"/>
          <w:szCs w:val="28"/>
          <w14:textFill>
            <w14:solidFill>
              <w14:schemeClr w14:val="tx1"/>
            </w14:solidFill>
          </w14:textFill>
        </w:rPr>
        <w:t>、管网及其他各项工程的正常运营。</w:t>
      </w:r>
      <w:bookmarkEnd w:id="270"/>
    </w:p>
    <w:p w14:paraId="111DC0D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71" w:name="_Toc18471"/>
      <w:r>
        <w:rPr>
          <w:rFonts w:ascii="Times New Roman Regular" w:hAnsi="Times New Roman Regular" w:eastAsia="仿宋_GB2312" w:cs="Times New Roman Regular"/>
          <w:color w:val="000000" w:themeColor="text1"/>
          <w:sz w:val="28"/>
          <w:szCs w:val="28"/>
          <w14:textFill>
            <w14:solidFill>
              <w14:schemeClr w14:val="tx1"/>
            </w14:solidFill>
          </w14:textFill>
        </w:rPr>
        <w:t>一般情况下，双方协商决定、法律变更和政府行为、不可抗力因素以及某方违约等情形都可能导致项目提前终止。</w:t>
      </w:r>
      <w:bookmarkEnd w:id="271"/>
    </w:p>
    <w:p w14:paraId="3D7B852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72" w:name="_Toc20993"/>
      <w:r>
        <w:rPr>
          <w:rFonts w:ascii="Times New Roman Regular" w:hAnsi="Times New Roman Regular" w:eastAsia="仿宋_GB2312" w:cs="Times New Roman Regular"/>
          <w:color w:val="000000" w:themeColor="text1"/>
          <w:sz w:val="28"/>
          <w:szCs w:val="28"/>
          <w14:textFill>
            <w14:solidFill>
              <w14:schemeClr w14:val="tx1"/>
            </w14:solidFill>
          </w14:textFill>
        </w:rPr>
        <w:t>A、特许经营单位违约导致的提前终止情形</w:t>
      </w:r>
      <w:bookmarkEnd w:id="272"/>
    </w:p>
    <w:p w14:paraId="46AFA72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73" w:name="_Toc22361"/>
      <w:r>
        <w:rPr>
          <w:rFonts w:ascii="Times New Roman Regular" w:hAnsi="Times New Roman Regular" w:eastAsia="仿宋_GB2312" w:cs="Times New Roman Regular"/>
          <w:color w:val="000000" w:themeColor="text1"/>
          <w:sz w:val="28"/>
          <w:szCs w:val="28"/>
          <w14:textFill>
            <w14:solidFill>
              <w14:schemeClr w14:val="tx1"/>
            </w14:solidFill>
          </w14:textFill>
        </w:rPr>
        <w:t>（1）乙方在本协议中所作出的任何声明被证明在作出时不属实或有严重错误，或者乙方严重违反本协议中做出的任何保证；</w:t>
      </w:r>
      <w:bookmarkEnd w:id="273"/>
    </w:p>
    <w:p w14:paraId="5BAC13F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74" w:name="_Toc21005"/>
      <w:r>
        <w:rPr>
          <w:rFonts w:ascii="Times New Roman Regular" w:hAnsi="Times New Roman Regular" w:eastAsia="仿宋_GB2312" w:cs="Times New Roman Regular"/>
          <w:color w:val="000000" w:themeColor="text1"/>
          <w:sz w:val="28"/>
          <w:szCs w:val="28"/>
          <w14:textFill>
            <w14:solidFill>
              <w14:schemeClr w14:val="tx1"/>
            </w14:solidFill>
          </w14:textFill>
        </w:rPr>
        <w:t>（2）特许经营单位存续期间，乙方股东抽撤资金的；</w:t>
      </w:r>
      <w:bookmarkEnd w:id="274"/>
    </w:p>
    <w:p w14:paraId="7386457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75" w:name="_Toc10087"/>
      <w:r>
        <w:rPr>
          <w:rFonts w:ascii="Times New Roman Regular" w:hAnsi="Times New Roman Regular" w:eastAsia="仿宋_GB2312" w:cs="Times New Roman Regular"/>
          <w:color w:val="000000" w:themeColor="text1"/>
          <w:sz w:val="28"/>
          <w:szCs w:val="28"/>
          <w14:textFill>
            <w14:solidFill>
              <w14:schemeClr w14:val="tx1"/>
            </w14:solidFill>
          </w14:textFill>
        </w:rPr>
        <w:t>（3）乙方进入清算或者严重资不抵债，且无能力继续经营项目；</w:t>
      </w:r>
      <w:bookmarkEnd w:id="275"/>
    </w:p>
    <w:p w14:paraId="0124C20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76" w:name="_Toc26086"/>
      <w:r>
        <w:rPr>
          <w:rFonts w:ascii="Times New Roman Regular" w:hAnsi="Times New Roman Regular" w:eastAsia="仿宋_GB2312" w:cs="Times New Roman Regular"/>
          <w:color w:val="000000" w:themeColor="text1"/>
          <w:sz w:val="28"/>
          <w:szCs w:val="28"/>
          <w14:textFill>
            <w14:solidFill>
              <w14:schemeClr w14:val="tx1"/>
            </w14:solidFill>
          </w14:textFill>
        </w:rPr>
        <w:t>（4）乙方违反适用法律而被相关政府部门依法吊销营业执照、责令停业、清算或宣布破产、责令关闭；</w:t>
      </w:r>
      <w:bookmarkEnd w:id="276"/>
    </w:p>
    <w:p w14:paraId="7A35271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77" w:name="_Toc503"/>
      <w:r>
        <w:rPr>
          <w:rFonts w:ascii="Times New Roman Regular" w:hAnsi="Times New Roman Regular" w:eastAsia="仿宋_GB2312" w:cs="Times New Roman Regular"/>
          <w:color w:val="000000" w:themeColor="text1"/>
          <w:sz w:val="28"/>
          <w:szCs w:val="28"/>
          <w14:textFill>
            <w14:solidFill>
              <w14:schemeClr w14:val="tx1"/>
            </w14:solidFill>
          </w14:textFill>
        </w:rPr>
        <w:t>（5）贷款人开始行使其担保协议项下的担保权利并可能造成项目无法正常运营；</w:t>
      </w:r>
      <w:bookmarkEnd w:id="277"/>
    </w:p>
    <w:p w14:paraId="64298A4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78" w:name="_Toc11657"/>
      <w:r>
        <w:rPr>
          <w:rFonts w:ascii="Times New Roman Regular" w:hAnsi="Times New Roman Regular" w:eastAsia="仿宋_GB2312" w:cs="Times New Roman Regular"/>
          <w:color w:val="000000" w:themeColor="text1"/>
          <w:sz w:val="28"/>
          <w:szCs w:val="28"/>
          <w14:textFill>
            <w14:solidFill>
              <w14:schemeClr w14:val="tx1"/>
            </w14:solidFill>
          </w14:textFill>
        </w:rPr>
        <w:t>（7）乙方违反本协议的规定，擅自出租、质押、转让或以其他形式处分项目设施、项目经营权</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的</w:t>
      </w:r>
      <w:r>
        <w:rPr>
          <w:rFonts w:ascii="Times New Roman Regular" w:hAnsi="Times New Roman Regular" w:eastAsia="仿宋_GB2312" w:cs="Times New Roman Regular"/>
          <w:color w:val="000000" w:themeColor="text1"/>
          <w:sz w:val="28"/>
          <w:szCs w:val="28"/>
          <w14:textFill>
            <w14:solidFill>
              <w14:schemeClr w14:val="tx1"/>
            </w14:solidFill>
          </w14:textFill>
        </w:rPr>
        <w:t>；</w:t>
      </w:r>
      <w:bookmarkEnd w:id="278"/>
    </w:p>
    <w:p w14:paraId="28AB956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79" w:name="_Toc22584"/>
      <w:r>
        <w:rPr>
          <w:rFonts w:ascii="Times New Roman Regular" w:hAnsi="Times New Roman Regular" w:eastAsia="仿宋_GB2312" w:cs="Times New Roman Regular"/>
          <w:color w:val="000000" w:themeColor="text1"/>
          <w:sz w:val="28"/>
          <w:szCs w:val="28"/>
          <w14:textFill>
            <w14:solidFill>
              <w14:schemeClr w14:val="tx1"/>
            </w14:solidFill>
          </w14:textFill>
        </w:rPr>
        <w:t>（8）乙方年度运营维护绩效考核得分在60分以下，且不整改或限期整改后考核仍低于60分的；</w:t>
      </w:r>
      <w:bookmarkEnd w:id="279"/>
    </w:p>
    <w:p w14:paraId="598F335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80" w:name="_Toc2538"/>
      <w:r>
        <w:rPr>
          <w:rFonts w:ascii="Times New Roman Regular" w:hAnsi="Times New Roman Regular" w:eastAsia="仿宋_GB2312" w:cs="Times New Roman Regular"/>
          <w:color w:val="000000" w:themeColor="text1"/>
          <w:sz w:val="28"/>
          <w:szCs w:val="28"/>
          <w14:textFill>
            <w14:solidFill>
              <w14:schemeClr w14:val="tx1"/>
            </w14:solidFill>
          </w14:textFill>
        </w:rPr>
        <w:t>（9）在任何一个运营年，除经批准的项目设施正常大修期间外，在进水达标的情况下出水未达到出水水质标准的情况总共超过</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三</w:t>
      </w:r>
      <w:r>
        <w:rPr>
          <w:rFonts w:ascii="Times New Roman Regular" w:hAnsi="Times New Roman Regular" w:eastAsia="仿宋_GB2312" w:cs="Times New Roman Regular"/>
          <w:color w:val="000000" w:themeColor="text1"/>
          <w:sz w:val="28"/>
          <w:szCs w:val="28"/>
          <w14:textFill>
            <w14:solidFill>
              <w14:schemeClr w14:val="tx1"/>
            </w14:solidFill>
          </w14:textFill>
        </w:rPr>
        <w:t>十（30）个运营日；</w:t>
      </w:r>
      <w:bookmarkEnd w:id="280"/>
    </w:p>
    <w:p w14:paraId="65B1367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81" w:name="_Toc29127"/>
      <w:r>
        <w:rPr>
          <w:rFonts w:ascii="Times New Roman Regular" w:hAnsi="Times New Roman Regular" w:eastAsia="仿宋_GB2312" w:cs="Times New Roman Regular"/>
          <w:color w:val="000000" w:themeColor="text1"/>
          <w:sz w:val="28"/>
          <w:szCs w:val="28"/>
          <w14:textFill>
            <w14:solidFill>
              <w14:schemeClr w14:val="tx1"/>
            </w14:solidFill>
          </w14:textFill>
        </w:rPr>
        <w:t>（10）乙方未履行本协议项下的义务构成对本协议的实质性违约，并且在收到甲方要求说明其违约并予以补救的通知后六十日内仍未能补救该实质性违约。</w:t>
      </w:r>
      <w:bookmarkEnd w:id="281"/>
    </w:p>
    <w:p w14:paraId="5A8282D6">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82" w:name="_Toc19652"/>
      <w:r>
        <w:rPr>
          <w:rFonts w:ascii="Times New Roman Regular" w:hAnsi="Times New Roman Regular" w:eastAsia="仿宋_GB2312" w:cs="Times New Roman Regular"/>
          <w:color w:val="000000" w:themeColor="text1"/>
          <w:sz w:val="28"/>
          <w:szCs w:val="28"/>
          <w14:textFill>
            <w14:solidFill>
              <w14:schemeClr w14:val="tx1"/>
            </w14:solidFill>
          </w14:textFill>
        </w:rPr>
        <w:t>B、政府方违约导致的提前终止情形</w:t>
      </w:r>
      <w:bookmarkEnd w:id="282"/>
    </w:p>
    <w:p w14:paraId="5BE23A4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83" w:name="_Toc10174"/>
      <w:r>
        <w:rPr>
          <w:rFonts w:ascii="Times New Roman Regular" w:hAnsi="Times New Roman Regular" w:eastAsia="仿宋_GB2312" w:cs="Times New Roman Regular"/>
          <w:color w:val="000000" w:themeColor="text1"/>
          <w:sz w:val="28"/>
          <w:szCs w:val="28"/>
          <w14:textFill>
            <w14:solidFill>
              <w14:schemeClr w14:val="tx1"/>
            </w14:solidFill>
          </w14:textFill>
        </w:rPr>
        <w:t>（1）甲方在本协议中所作出的任何声明被证明在作出时不属实或有严重错误；</w:t>
      </w:r>
      <w:bookmarkEnd w:id="283"/>
    </w:p>
    <w:p w14:paraId="10E1F31C">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84" w:name="_Toc10223"/>
      <w:r>
        <w:rPr>
          <w:rFonts w:ascii="Times New Roman Regular" w:hAnsi="Times New Roman Regular" w:eastAsia="仿宋_GB2312" w:cs="Times New Roman Regular"/>
          <w:color w:val="000000" w:themeColor="text1"/>
          <w:sz w:val="28"/>
          <w:szCs w:val="28"/>
          <w14:textFill>
            <w14:solidFill>
              <w14:schemeClr w14:val="tx1"/>
            </w14:solidFill>
          </w14:textFill>
        </w:rPr>
        <w:t>（2）甲方由于与其他政府部门调整、合并或被撤销，且无相应的政府部门或其指定机构能够承继本协议约定的权利和义务，从而实质上使乙方在本协议下的权利受到不利影响；</w:t>
      </w:r>
      <w:bookmarkEnd w:id="284"/>
    </w:p>
    <w:p w14:paraId="473839A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85" w:name="_Toc13616"/>
      <w:r>
        <w:rPr>
          <w:rFonts w:ascii="Times New Roman Regular" w:hAnsi="Times New Roman Regular" w:eastAsia="仿宋_GB2312" w:cs="Times New Roman Regular"/>
          <w:color w:val="000000" w:themeColor="text1"/>
          <w:sz w:val="28"/>
          <w:szCs w:val="28"/>
          <w14:textFill>
            <w14:solidFill>
              <w14:schemeClr w14:val="tx1"/>
            </w14:solidFill>
          </w14:textFill>
        </w:rPr>
        <w:t>（3）甲方非依本协议所约定的情况擅自撤销本协议项下的经营权或将本协议项下的经营权授予给乙方以外的公司或经济实体；</w:t>
      </w:r>
      <w:bookmarkEnd w:id="285"/>
    </w:p>
    <w:p w14:paraId="5309D77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86" w:name="_Toc24673"/>
      <w:r>
        <w:rPr>
          <w:rFonts w:ascii="Times New Roman Regular" w:hAnsi="Times New Roman Regular" w:eastAsia="仿宋_GB2312" w:cs="Times New Roman Regular"/>
          <w:color w:val="000000" w:themeColor="text1"/>
          <w:sz w:val="28"/>
          <w:szCs w:val="28"/>
          <w14:textFill>
            <w14:solidFill>
              <w14:schemeClr w14:val="tx1"/>
            </w14:solidFill>
          </w14:textFill>
        </w:rPr>
        <w:t>（4）因政府可控制的政策变更，导致乙方在本项目的利益受到实质性影响，该等影响不能根据本协议的约定予以消除或获得补偿；</w:t>
      </w:r>
      <w:bookmarkEnd w:id="286"/>
    </w:p>
    <w:p w14:paraId="3B9C223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87" w:name="_Toc12451"/>
      <w:r>
        <w:rPr>
          <w:rFonts w:ascii="Times New Roman Regular" w:hAnsi="Times New Roman Regular" w:eastAsia="仿宋_GB2312" w:cs="Times New Roman Regular"/>
          <w:color w:val="000000" w:themeColor="text1"/>
          <w:sz w:val="28"/>
          <w:szCs w:val="28"/>
          <w14:textFill>
            <w14:solidFill>
              <w14:schemeClr w14:val="tx1"/>
            </w14:solidFill>
          </w14:textFill>
        </w:rPr>
        <w:t>（5）甲方无正当理由在逾期</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1</w:t>
      </w:r>
      <w:r>
        <w:rPr>
          <w:rFonts w:ascii="Times New Roman Regular" w:hAnsi="Times New Roman Regular" w:eastAsia="仿宋_GB2312" w:cs="Times New Roman Regular"/>
          <w:color w:val="000000" w:themeColor="text1"/>
          <w:sz w:val="28"/>
          <w:szCs w:val="28"/>
          <w14:textFill>
            <w14:solidFill>
              <w14:schemeClr w14:val="tx1"/>
            </w14:solidFill>
          </w14:textFill>
        </w:rPr>
        <w:t>2个月（自应付日起算）后仍未支付服务费的。</w:t>
      </w:r>
      <w:bookmarkEnd w:id="287"/>
    </w:p>
    <w:p w14:paraId="6FD84E1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88" w:name="_Toc10823"/>
      <w:r>
        <w:rPr>
          <w:rFonts w:ascii="Times New Roman Regular" w:hAnsi="Times New Roman Regular" w:eastAsia="仿宋_GB2312" w:cs="Times New Roman Regular"/>
          <w:color w:val="000000" w:themeColor="text1"/>
          <w:sz w:val="28"/>
          <w:szCs w:val="28"/>
          <w14:textFill>
            <w14:solidFill>
              <w14:schemeClr w14:val="tx1"/>
            </w14:solidFill>
          </w14:textFill>
        </w:rPr>
        <w:t>（6）甲方未履行本协议项下的义务构成对本协议的实质性违约，并且在收到乙方要求说明其违约并予以补救的通知后六十日内仍未补救该实质性违约。</w:t>
      </w:r>
      <w:bookmarkEnd w:id="288"/>
    </w:p>
    <w:p w14:paraId="5839EE6D">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89" w:name="_Toc7757"/>
      <w:r>
        <w:rPr>
          <w:rFonts w:ascii="Times New Roman Regular" w:hAnsi="Times New Roman Regular" w:eastAsia="仿宋_GB2312" w:cs="Times New Roman Regular"/>
          <w:color w:val="000000" w:themeColor="text1"/>
          <w:sz w:val="28"/>
          <w:szCs w:val="28"/>
          <w14:textFill>
            <w14:solidFill>
              <w14:schemeClr w14:val="tx1"/>
            </w14:solidFill>
          </w14:textFill>
        </w:rPr>
        <w:t>C、法律变更和政府行为导致提前终止情形</w:t>
      </w:r>
      <w:bookmarkEnd w:id="289"/>
    </w:p>
    <w:p w14:paraId="417CAC7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90" w:name="_Toc32473"/>
      <w:r>
        <w:rPr>
          <w:rFonts w:ascii="Times New Roman Regular" w:hAnsi="Times New Roman Regular" w:eastAsia="仿宋_GB2312" w:cs="Times New Roman Regular"/>
          <w:color w:val="000000" w:themeColor="text1"/>
          <w:sz w:val="28"/>
          <w:szCs w:val="28"/>
          <w14:textFill>
            <w14:solidFill>
              <w14:schemeClr w14:val="tx1"/>
            </w14:solidFill>
          </w14:textFill>
        </w:rPr>
        <w:t>（1）超出湘桥市人民政府控制的政策变更；</w:t>
      </w:r>
      <w:bookmarkEnd w:id="290"/>
    </w:p>
    <w:p w14:paraId="66F1BF3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91" w:name="_Toc18701"/>
      <w:r>
        <w:rPr>
          <w:rFonts w:ascii="Times New Roman Regular" w:hAnsi="Times New Roman Regular" w:eastAsia="仿宋_GB2312" w:cs="Times New Roman Regular"/>
          <w:color w:val="000000" w:themeColor="text1"/>
          <w:sz w:val="28"/>
          <w:szCs w:val="28"/>
          <w14:textFill>
            <w14:solidFill>
              <w14:schemeClr w14:val="tx1"/>
            </w14:solidFill>
          </w14:textFill>
        </w:rPr>
        <w:t>（2）因公共产品和公共服务不适用或不再需要；</w:t>
      </w:r>
      <w:bookmarkEnd w:id="291"/>
    </w:p>
    <w:p w14:paraId="63410388">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92" w:name="_Toc469"/>
      <w:r>
        <w:rPr>
          <w:rFonts w:ascii="Times New Roman Regular" w:hAnsi="Times New Roman Regular" w:eastAsia="仿宋_GB2312" w:cs="Times New Roman Regular"/>
          <w:color w:val="000000" w:themeColor="text1"/>
          <w:sz w:val="28"/>
          <w:szCs w:val="28"/>
          <w14:textFill>
            <w14:solidFill>
              <w14:schemeClr w14:val="tx1"/>
            </w14:solidFill>
          </w14:textFill>
        </w:rPr>
        <w:t>（3）项目继续进行影响公共利益和公共安全。</w:t>
      </w:r>
      <w:bookmarkEnd w:id="292"/>
    </w:p>
    <w:p w14:paraId="503169D9">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93" w:name="_Toc16520"/>
      <w:r>
        <w:rPr>
          <w:rFonts w:ascii="Times New Roman Regular" w:hAnsi="Times New Roman Regular" w:eastAsia="仿宋_GB2312" w:cs="Times New Roman Regular"/>
          <w:color w:val="000000" w:themeColor="text1"/>
          <w:sz w:val="28"/>
          <w:szCs w:val="28"/>
          <w14:textFill>
            <w14:solidFill>
              <w14:schemeClr w14:val="tx1"/>
            </w14:solidFill>
          </w14:textFill>
        </w:rPr>
        <w:t>D、不可抗力导致提前终止情形</w:t>
      </w:r>
      <w:bookmarkEnd w:id="293"/>
    </w:p>
    <w:p w14:paraId="12B683D3">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94" w:name="_Toc31681"/>
      <w:r>
        <w:rPr>
          <w:rFonts w:ascii="Times New Roman Regular" w:hAnsi="Times New Roman Regular" w:eastAsia="仿宋_GB2312" w:cs="Times New Roman Regular"/>
          <w:color w:val="000000" w:themeColor="text1"/>
          <w:sz w:val="28"/>
          <w:szCs w:val="28"/>
          <w14:textFill>
            <w14:solidFill>
              <w14:schemeClr w14:val="tx1"/>
            </w14:solidFill>
          </w14:textFill>
        </w:rPr>
        <w:t>法律法规所规定的不可抗力情形，包括战争以及地震、洪水、台风、冰雹等自然不可抗力等。</w:t>
      </w:r>
      <w:bookmarkEnd w:id="294"/>
    </w:p>
    <w:p w14:paraId="7EEBEEE5">
      <w:pPr>
        <w:pStyle w:val="5"/>
      </w:pPr>
      <w:bookmarkStart w:id="295" w:name="_Toc3277"/>
      <w:r>
        <w:t>7、履约担保</w:t>
      </w:r>
      <w:bookmarkEnd w:id="295"/>
    </w:p>
    <w:p w14:paraId="3C38BEB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96" w:name="_Toc22382"/>
      <w:r>
        <w:rPr>
          <w:rFonts w:ascii="Times New Roman Regular" w:hAnsi="Times New Roman Regular" w:eastAsia="仿宋_GB2312" w:cs="Times New Roman Regular"/>
          <w:color w:val="000000" w:themeColor="text1"/>
          <w:sz w:val="28"/>
          <w:szCs w:val="28"/>
          <w14:textFill>
            <w14:solidFill>
              <w14:schemeClr w14:val="tx1"/>
            </w14:solidFill>
          </w14:textFill>
        </w:rPr>
        <w:t>为了保障本项目能够顺利实施，在项目前期招标和运营过程中需要进行强制保险和履约担保，具体方案如下：</w:t>
      </w:r>
      <w:bookmarkEnd w:id="296"/>
    </w:p>
    <w:p w14:paraId="67F8CE7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97" w:name="_Toc27754"/>
      <w:r>
        <w:rPr>
          <w:rFonts w:ascii="Times New Roman Regular" w:hAnsi="Times New Roman Regular" w:eastAsia="仿宋_GB2312" w:cs="Times New Roman Regular"/>
          <w:color w:val="000000" w:themeColor="text1"/>
          <w:sz w:val="28"/>
          <w:szCs w:val="28"/>
          <w14:textFill>
            <w14:solidFill>
              <w14:schemeClr w14:val="tx1"/>
            </w14:solidFill>
          </w14:textFill>
        </w:rPr>
        <w:t>为了更好地保障本项目引入合格的社会投资方，督促履行相关义务，确保项目招标、日常维护质量和项目移交后的质量保障，根据《中华人民共和国政府采购法实施条例》第三十三条</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“招标文件要求投标人提交投标保证金的，投标保证金不得超过采购项目预算金额的2%”，以及第四十八条</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r>
        <w:rPr>
          <w:rFonts w:ascii="Times New Roman Regular" w:hAnsi="Times New Roman Regular" w:eastAsia="仿宋_GB2312" w:cs="Times New Roman Regular"/>
          <w:color w:val="000000" w:themeColor="text1"/>
          <w:sz w:val="28"/>
          <w:szCs w:val="28"/>
          <w14:textFill>
            <w14:solidFill>
              <w14:schemeClr w14:val="tx1"/>
            </w14:solidFill>
          </w14:textFill>
        </w:rPr>
        <w:t>“采购文件要求中标或者成交供应商提交履约保证金的，供应商应当以支票、汇票、本票或者金融机构、担保机构出具的保函等非现金形式提交。履约保证金的数额不得超过政府采购合同金额的10%”，本项目在招标过程中要求特许经营合作方提供履约保证金（保函），在特许经营期要求特许经营单位提供运营维护履约保函，在项目特许经营期临近结束，进入移交过渡期时特许经营单位提交移交履约保函。在特许经营期内，如果特许经营单位未能履行项目协议中规定的义务，并且在收到政府监管部门发出的要求改正的通知后的限定时间内仍没有纠正的，则实施机构有权根据《特许经营协议》中的规定，兑取履约保函中的相应金额。</w:t>
      </w:r>
      <w:bookmarkEnd w:id="297"/>
    </w:p>
    <w:p w14:paraId="4F1490BA">
      <w:pPr>
        <w:pStyle w:val="6"/>
      </w:pPr>
      <w:bookmarkStart w:id="298" w:name="_Toc17484"/>
      <w:r>
        <w:t>（1）运营维护保函</w:t>
      </w:r>
      <w:bookmarkEnd w:id="298"/>
    </w:p>
    <w:p w14:paraId="63011AF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299" w:name="_Toc22490"/>
      <w:r>
        <w:rPr>
          <w:rFonts w:ascii="Times New Roman Regular" w:hAnsi="Times New Roman Regular" w:eastAsia="仿宋_GB2312" w:cs="Times New Roman Regular"/>
          <w:color w:val="000000" w:themeColor="text1"/>
          <w:sz w:val="28"/>
          <w:szCs w:val="28"/>
          <w14:textFill>
            <w14:solidFill>
              <w14:schemeClr w14:val="tx1"/>
            </w14:solidFill>
          </w14:textFill>
        </w:rPr>
        <w:t>特许经营期内，特许经营合作方违约，政府可以通过扣除付费金额等方式予以制约。考虑到本项目仅为存量资产的运营，且特许经营期长达</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30</w:t>
      </w:r>
      <w:r>
        <w:rPr>
          <w:rFonts w:ascii="Times New Roman Regular" w:hAnsi="Times New Roman Regular" w:eastAsia="仿宋_GB2312" w:cs="Times New Roman Regular"/>
          <w:color w:val="000000" w:themeColor="text1"/>
          <w:sz w:val="28"/>
          <w:szCs w:val="28"/>
          <w14:textFill>
            <w14:solidFill>
              <w14:schemeClr w14:val="tx1"/>
            </w14:solidFill>
          </w14:textFill>
        </w:rPr>
        <w:t>年，运营维护保函金额为人民币20万元。</w:t>
      </w:r>
      <w:bookmarkEnd w:id="299"/>
    </w:p>
    <w:p w14:paraId="3C73748E">
      <w:pPr>
        <w:pStyle w:val="6"/>
      </w:pPr>
      <w:bookmarkStart w:id="300" w:name="_Toc27781"/>
      <w:r>
        <w:t>（2）移交保函</w:t>
      </w:r>
      <w:bookmarkEnd w:id="300"/>
    </w:p>
    <w:p w14:paraId="344B3FB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301" w:name="_Toc7601"/>
      <w:r>
        <w:rPr>
          <w:rFonts w:ascii="Times New Roman Regular" w:hAnsi="Times New Roman Regular" w:eastAsia="仿宋_GB2312" w:cs="Times New Roman Regular"/>
          <w:color w:val="000000" w:themeColor="text1"/>
          <w:sz w:val="28"/>
          <w:szCs w:val="28"/>
          <w14:textFill>
            <w14:solidFill>
              <w14:schemeClr w14:val="tx1"/>
            </w14:solidFill>
          </w14:textFill>
        </w:rPr>
        <w:t>移交保函金额为人民币100万元，用于担保项目移交时</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w:t>
      </w:r>
      <w:r>
        <w:rPr>
          <w:rFonts w:ascii="Times New Roman Regular" w:hAnsi="Times New Roman Regular" w:eastAsia="仿宋_GB2312" w:cs="Times New Roman Regular"/>
          <w:color w:val="000000" w:themeColor="text1"/>
          <w:sz w:val="28"/>
          <w:szCs w:val="28"/>
          <w14:textFill>
            <w14:solidFill>
              <w14:schemeClr w14:val="tx1"/>
            </w14:solidFill>
          </w14:textFill>
        </w:rPr>
        <w:t>设备、各类污水处理设施的保存完好等。在设施、设备移交完成满1年后退还。</w:t>
      </w:r>
      <w:bookmarkEnd w:id="301"/>
    </w:p>
    <w:p w14:paraId="45D8C219">
      <w:pPr>
        <w:pStyle w:val="6"/>
      </w:pPr>
      <w:bookmarkStart w:id="302" w:name="_Toc25872"/>
      <w:r>
        <w:t>（3）保函金额维持</w:t>
      </w:r>
      <w:bookmarkEnd w:id="302"/>
    </w:p>
    <w:p w14:paraId="279B18C4">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303" w:name="_Toc17661"/>
      <w:r>
        <w:rPr>
          <w:rFonts w:ascii="Times New Roman Regular" w:hAnsi="Times New Roman Regular" w:eastAsia="仿宋_GB2312" w:cs="Times New Roman Regular"/>
          <w:color w:val="000000" w:themeColor="text1"/>
          <w:sz w:val="28"/>
          <w:szCs w:val="28"/>
          <w14:textFill>
            <w14:solidFill>
              <w14:schemeClr w14:val="tx1"/>
            </w14:solidFill>
          </w14:textFill>
        </w:rPr>
        <w:t>特许经营合作方有义务保证履约保函项下的金额一直保持在一个规定的金额，如果政府根据项目法律文件的有关规定提取履约保函项下的款项，特许经营合作方应当及时将该保函恢复至该规定金额。</w:t>
      </w:r>
      <w:bookmarkEnd w:id="303"/>
    </w:p>
    <w:p w14:paraId="0411EF53">
      <w:pPr>
        <w:pStyle w:val="6"/>
      </w:pPr>
      <w:bookmarkStart w:id="304" w:name="_Toc28424"/>
      <w:r>
        <w:t>（4）保函兑取方式</w:t>
      </w:r>
      <w:bookmarkEnd w:id="304"/>
    </w:p>
    <w:p w14:paraId="3F16E7A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305" w:name="_Toc4003"/>
      <w:r>
        <w:rPr>
          <w:rFonts w:ascii="Times New Roman Regular" w:hAnsi="Times New Roman Regular" w:eastAsia="仿宋_GB2312" w:cs="Times New Roman Regular"/>
          <w:color w:val="000000" w:themeColor="text1"/>
          <w:sz w:val="28"/>
          <w:szCs w:val="28"/>
          <w14:textFill>
            <w14:solidFill>
              <w14:schemeClr w14:val="tx1"/>
            </w14:solidFill>
          </w14:textFill>
        </w:rPr>
        <w:t>保函应为见索即付型保函，即担保人保证在收到政府方在保函有效期内出具的见索即付的书面要求后的第五（5）个营业日内，即向政府方支付政府方要求的不超过上述金额的款项，而无须要求政府方确证该支付要求满足本保函项下的支付要求，政府方只需在其书面要求中说明其要求支付的款项是由于特许经营合作方未履行《特许经营协议》项下的某一项或某几项义务。</w:t>
      </w:r>
      <w:bookmarkEnd w:id="305"/>
    </w:p>
    <w:p w14:paraId="6CC16A06">
      <w:pPr>
        <w:pStyle w:val="6"/>
      </w:pPr>
      <w:bookmarkStart w:id="306" w:name="_Toc7437"/>
      <w:r>
        <w:t>（5）保函提取标准</w:t>
      </w:r>
      <w:bookmarkEnd w:id="306"/>
    </w:p>
    <w:p w14:paraId="530D5427">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307" w:name="_Toc1229"/>
      <w:r>
        <w:rPr>
          <w:rFonts w:ascii="Times New Roman Regular" w:hAnsi="Times New Roman Regular" w:eastAsia="仿宋_GB2312" w:cs="Times New Roman Regular"/>
          <w:color w:val="000000" w:themeColor="text1"/>
          <w:sz w:val="28"/>
          <w:szCs w:val="28"/>
          <w14:textFill>
            <w14:solidFill>
              <w14:schemeClr w14:val="tx1"/>
            </w14:solidFill>
          </w14:textFill>
        </w:rPr>
        <w:t>特许经营合作方和政府方应各自承担因移交和转让发生的费用和支出。政府方应自费获得所有的批准或使之生效，并采取其他可能为移交和转让所必需的措施，并且应支付与移交和转让有关的所有印花税、税收、收费和类似的费用。如果特许经营合作方未按协议规定的范围和内容进行移交，政府方为此产生支出或遭受损失，政府方有权从移交保函中扣除。</w:t>
      </w:r>
      <w:bookmarkEnd w:id="307"/>
    </w:p>
    <w:p w14:paraId="41622C44">
      <w:pPr>
        <w:pStyle w:val="5"/>
      </w:pPr>
      <w:bookmarkStart w:id="308" w:name="_Toc17541"/>
      <w:r>
        <w:t>8、更新改造、大修与重置</w:t>
      </w:r>
      <w:bookmarkEnd w:id="308"/>
    </w:p>
    <w:p w14:paraId="6E490D3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309" w:name="_Toc27555"/>
      <w:r>
        <w:rPr>
          <w:rFonts w:ascii="Times New Roman Regular" w:hAnsi="Times New Roman Regular" w:eastAsia="仿宋_GB2312" w:cs="Times New Roman Regular"/>
          <w:color w:val="000000" w:themeColor="text1"/>
          <w:sz w:val="28"/>
          <w:szCs w:val="28"/>
          <w14:textFill>
            <w14:solidFill>
              <w14:schemeClr w14:val="tx1"/>
            </w14:solidFill>
          </w14:textFill>
        </w:rPr>
        <w:t>运营期间，</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本项目范围内的</w:t>
      </w:r>
      <w:r>
        <w:rPr>
          <w:rFonts w:ascii="Times New Roman Regular" w:hAnsi="Times New Roman Regular" w:eastAsia="仿宋_GB2312" w:cs="Times New Roman Regular"/>
          <w:color w:val="000000" w:themeColor="text1"/>
          <w:sz w:val="28"/>
          <w:szCs w:val="28"/>
          <w14:textFill>
            <w14:solidFill>
              <w14:schemeClr w14:val="tx1"/>
            </w14:solidFill>
          </w14:textFill>
        </w:rPr>
        <w:t>设备设施更新、大修和重置由特许经营单位负责，费用也由特许经营单位承担；因国家标准提高导致需要提标改造或新建的，相关费用届时再作约定。本项目内</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现有</w:t>
      </w:r>
      <w:r>
        <w:rPr>
          <w:rFonts w:ascii="Times New Roman Regular" w:hAnsi="Times New Roman Regular" w:eastAsia="仿宋_GB2312" w:cs="Times New Roman Regular"/>
          <w:color w:val="000000" w:themeColor="text1"/>
          <w:sz w:val="28"/>
          <w:szCs w:val="28"/>
          <w14:textFill>
            <w14:solidFill>
              <w14:schemeClr w14:val="tx1"/>
            </w14:solidFill>
          </w14:textFill>
        </w:rPr>
        <w:t>管网的</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大中修</w:t>
      </w:r>
      <w:r>
        <w:rPr>
          <w:rFonts w:ascii="Times New Roman Regular" w:hAnsi="Times New Roman Regular" w:eastAsia="仿宋_GB2312" w:cs="Times New Roman Regular"/>
          <w:color w:val="000000" w:themeColor="text1"/>
          <w:sz w:val="28"/>
          <w:szCs w:val="28"/>
          <w14:textFill>
            <w14:solidFill>
              <w14:schemeClr w14:val="tx1"/>
            </w14:solidFill>
          </w14:textFill>
        </w:rPr>
        <w:t>由特许经营单位负责。</w:t>
      </w:r>
      <w:bookmarkEnd w:id="309"/>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若项目范围内有新增管网的，由实施机构负责建设。</w:t>
      </w:r>
    </w:p>
    <w:p w14:paraId="66A5DCE8">
      <w:pPr>
        <w:pStyle w:val="5"/>
      </w:pPr>
      <w:bookmarkStart w:id="310" w:name="_Toc8683"/>
      <w:r>
        <w:t>9、违约责任与争议解决</w:t>
      </w:r>
      <w:bookmarkEnd w:id="310"/>
    </w:p>
    <w:p w14:paraId="0418AA91">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311" w:name="_Toc8414"/>
      <w:r>
        <w:rPr>
          <w:rFonts w:ascii="Times New Roman Regular" w:hAnsi="Times New Roman Regular" w:eastAsia="仿宋_GB2312" w:cs="Times New Roman Regular"/>
          <w:color w:val="000000" w:themeColor="text1"/>
          <w:sz w:val="28"/>
          <w:szCs w:val="28"/>
          <w14:textFill>
            <w14:solidFill>
              <w14:schemeClr w14:val="tx1"/>
            </w14:solidFill>
          </w14:textFill>
        </w:rPr>
        <w:t>若在合作过程中，双方对于《特许经营协议》等法律文件产生任何争议、分歧或索赔，则应尽力通过协商友好解决。若在尝试友好协商解决后，该争议仍未能得到解决，可向项目所在地有管辖权的法院提起诉讼。</w:t>
      </w:r>
      <w:bookmarkEnd w:id="311"/>
    </w:p>
    <w:bookmarkEnd w:id="186"/>
    <w:bookmarkEnd w:id="187"/>
    <w:bookmarkEnd w:id="188"/>
    <w:p w14:paraId="1C2A77E3">
      <w:pPr>
        <w:widowControl/>
        <w:shd w:val="clear" w:color="auto" w:fill="FFFFFF"/>
        <w:ind w:firstLine="560" w:firstLineChars="200"/>
        <w:rPr>
          <w:rFonts w:ascii="Times New Roman Regular" w:hAnsi="Times New Roman Regular" w:eastAsia="仿宋_GB2312" w:cs="Times New Roman Regular"/>
          <w:color w:val="000000" w:themeColor="text1"/>
          <w:kern w:val="0"/>
          <w:sz w:val="28"/>
          <w:szCs w:val="28"/>
          <w14:textFill>
            <w14:solidFill>
              <w14:schemeClr w14:val="tx1"/>
            </w14:solidFill>
          </w14:textFill>
        </w:rPr>
      </w:pPr>
      <w:r>
        <w:rPr>
          <w:rFonts w:ascii="Times New Roman Regular" w:hAnsi="Times New Roman Regular" w:eastAsia="仿宋_GB2312" w:cs="Times New Roman Regular"/>
          <w:color w:val="000000" w:themeColor="text1"/>
          <w:kern w:val="0"/>
          <w:sz w:val="28"/>
          <w:szCs w:val="28"/>
          <w14:textFill>
            <w14:solidFill>
              <w14:schemeClr w14:val="tx1"/>
            </w14:solidFill>
          </w14:textFill>
        </w:rPr>
        <w:br w:type="page"/>
      </w:r>
    </w:p>
    <w:p w14:paraId="2445F1AB">
      <w:pPr>
        <w:pStyle w:val="3"/>
      </w:pPr>
      <w:bookmarkStart w:id="312" w:name="_Toc563"/>
      <w:bookmarkStart w:id="313" w:name="_Toc4241"/>
      <w:bookmarkStart w:id="314" w:name="_Toc12818"/>
      <w:bookmarkStart w:id="315" w:name="_Toc188530570"/>
      <w:r>
        <w:t>五、结论和建议</w:t>
      </w:r>
      <w:bookmarkEnd w:id="312"/>
      <w:bookmarkEnd w:id="313"/>
      <w:bookmarkEnd w:id="314"/>
      <w:bookmarkEnd w:id="315"/>
    </w:p>
    <w:p w14:paraId="2A54FB6C">
      <w:pPr>
        <w:pStyle w:val="4"/>
      </w:pPr>
      <w:bookmarkStart w:id="316" w:name="_Toc14313"/>
      <w:bookmarkStart w:id="317" w:name="_Toc17922"/>
      <w:bookmarkStart w:id="318" w:name="_Toc22263"/>
      <w:bookmarkStart w:id="319" w:name="_Toc188530571"/>
      <w:r>
        <w:t>（一）主要研究结论</w:t>
      </w:r>
      <w:bookmarkEnd w:id="316"/>
      <w:bookmarkEnd w:id="317"/>
      <w:bookmarkEnd w:id="318"/>
      <w:bookmarkEnd w:id="319"/>
    </w:p>
    <w:p w14:paraId="0159915E">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320" w:name="_Toc31107"/>
      <w:r>
        <w:rPr>
          <w:rFonts w:ascii="Times New Roman Regular" w:hAnsi="Times New Roman Regular" w:eastAsia="仿宋_GB2312" w:cs="Times New Roman Regular"/>
          <w:color w:val="000000" w:themeColor="text1"/>
          <w:sz w:val="28"/>
          <w:szCs w:val="28"/>
          <w14:textFill>
            <w14:solidFill>
              <w14:schemeClr w14:val="tx1"/>
            </w14:solidFill>
          </w14:textFill>
        </w:rPr>
        <w:t>本项目</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为污水处理项目，</w:t>
      </w:r>
      <w:r>
        <w:rPr>
          <w:rFonts w:ascii="Times New Roman Regular" w:hAnsi="Times New Roman Regular" w:eastAsia="仿宋_GB2312" w:cs="Times New Roman Regular"/>
          <w:color w:val="000000" w:themeColor="text1"/>
          <w:sz w:val="28"/>
          <w:szCs w:val="28"/>
          <w14:textFill>
            <w14:solidFill>
              <w14:schemeClr w14:val="tx1"/>
            </w14:solidFill>
          </w14:textFill>
        </w:rPr>
        <w:t>属于《国务院办公厅转发国家发展改革委、财政部</w:t>
      </w:r>
      <w:bookmarkEnd w:id="320"/>
      <w:bookmarkStart w:id="321" w:name="_Toc32566"/>
      <w:r>
        <w:rPr>
          <w:rFonts w:ascii="Times New Roman Regular" w:hAnsi="Times New Roman Regular" w:eastAsia="仿宋_GB2312" w:cs="Times New Roman Regular"/>
          <w:color w:val="000000" w:themeColor="text1"/>
          <w:sz w:val="28"/>
          <w:szCs w:val="28"/>
          <w14:textFill>
            <w14:solidFill>
              <w14:schemeClr w14:val="tx1"/>
            </w14:solidFill>
          </w14:textFill>
        </w:rPr>
        <w:t>&lt;关于规范实施政府和社会资本合作新机制的指导意见&gt;的通知》（国办函〔2023〕115号）中的重点领域，</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经营者虽无法直接向用户收费，但由政府或其依法授权机构代为向用户收费，再按协议向经营者支付污水处理服务费。</w:t>
      </w:r>
    </w:p>
    <w:p w14:paraId="17AC241F">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项目</w:t>
      </w:r>
      <w:r>
        <w:rPr>
          <w:rFonts w:ascii="Times New Roman Regular" w:hAnsi="Times New Roman Regular" w:eastAsia="仿宋_GB2312" w:cs="Times New Roman Regular"/>
          <w:color w:val="000000" w:themeColor="text1"/>
          <w:sz w:val="28"/>
          <w:szCs w:val="28"/>
          <w14:textFill>
            <w14:solidFill>
              <w14:schemeClr w14:val="tx1"/>
            </w14:solidFill>
          </w14:textFill>
        </w:rPr>
        <w:t>采用“</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TOT</w:t>
      </w:r>
      <w:r>
        <w:rPr>
          <w:rFonts w:ascii="Times New Roman Regular" w:hAnsi="Times New Roman Regular" w:eastAsia="仿宋_GB2312" w:cs="Times New Roman Regular"/>
          <w:color w:val="000000" w:themeColor="text1"/>
          <w:sz w:val="28"/>
          <w:szCs w:val="28"/>
          <w14:textFill>
            <w14:solidFill>
              <w14:schemeClr w14:val="tx1"/>
            </w14:solidFill>
          </w14:textFill>
        </w:rPr>
        <w:t>”的运营模式，</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特许经营者签约后1个月内向湘桥区政府支付11000万元的特许经营权转让费，获得本项目特许经营权，特许经营期</w:t>
      </w:r>
      <w:r>
        <w:rPr>
          <w:rFonts w:ascii="Times New Roman Regular" w:hAnsi="Times New Roman Regular" w:eastAsia="仿宋_GB2312" w:cs="Times New Roman Regular"/>
          <w:color w:val="000000" w:themeColor="text1"/>
          <w:sz w:val="28"/>
          <w:szCs w:val="28"/>
          <w14:textFill>
            <w14:solidFill>
              <w14:schemeClr w14:val="tx1"/>
            </w14:solidFill>
          </w14:textFill>
        </w:rPr>
        <w:t>为</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30</w:t>
      </w:r>
      <w:r>
        <w:rPr>
          <w:rFonts w:ascii="Times New Roman Regular" w:hAnsi="Times New Roman Regular" w:eastAsia="仿宋_GB2312" w:cs="Times New Roman Regular"/>
          <w:color w:val="000000" w:themeColor="text1"/>
          <w:sz w:val="28"/>
          <w:szCs w:val="28"/>
          <w14:textFill>
            <w14:solidFill>
              <w14:schemeClr w14:val="tx1"/>
            </w14:solidFill>
          </w14:textFill>
        </w:rPr>
        <w:t>年</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w:t>
      </w:r>
    </w:p>
    <w:p w14:paraId="475A3CB0">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政府向特许经营者支付服务费（最高限价9</w:t>
      </w:r>
      <w:r>
        <w:rPr>
          <w:rFonts w:ascii="Times New Roman Regular" w:hAnsi="Times New Roman Regular" w:eastAsia="仿宋_GB2312" w:cs="Times New Roman Regular"/>
          <w:color w:val="000000" w:themeColor="text1"/>
          <w:sz w:val="28"/>
          <w:szCs w:val="28"/>
          <w14:textFill>
            <w14:solidFill>
              <w14:schemeClr w14:val="tx1"/>
            </w14:solidFill>
          </w14:textFill>
        </w:rPr>
        <w:t>19</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万元/年，投标报价应下浮），实际付费跟绩效考核挂钩。</w:t>
      </w:r>
    </w:p>
    <w:p w14:paraId="193E30F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r>
        <w:rPr>
          <w:rFonts w:ascii="Times New Roman Regular" w:hAnsi="Times New Roman Regular" w:eastAsia="仿宋_GB2312" w:cs="Times New Roman Regular"/>
          <w:color w:val="000000" w:themeColor="text1"/>
          <w:sz w:val="28"/>
          <w:szCs w:val="28"/>
          <w14:textFill>
            <w14:solidFill>
              <w14:schemeClr w14:val="tx1"/>
            </w14:solidFill>
          </w14:textFill>
        </w:rPr>
        <w:t>本项目的实施有助于提高</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农村</w:t>
      </w:r>
      <w:r>
        <w:rPr>
          <w:rFonts w:ascii="Times New Roman Regular" w:hAnsi="Times New Roman Regular" w:eastAsia="仿宋_GB2312" w:cs="Times New Roman Regular"/>
          <w:color w:val="000000" w:themeColor="text1"/>
          <w:sz w:val="28"/>
          <w:szCs w:val="28"/>
          <w14:textFill>
            <w14:solidFill>
              <w14:schemeClr w14:val="tx1"/>
            </w14:solidFill>
          </w14:textFill>
        </w:rPr>
        <w:t>污水</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治理</w:t>
      </w:r>
      <w:r>
        <w:rPr>
          <w:rFonts w:ascii="Times New Roman Regular" w:hAnsi="Times New Roman Regular" w:eastAsia="仿宋_GB2312" w:cs="Times New Roman Regular"/>
          <w:color w:val="000000" w:themeColor="text1"/>
          <w:sz w:val="28"/>
          <w:szCs w:val="28"/>
          <w14:textFill>
            <w14:solidFill>
              <w14:schemeClr w14:val="tx1"/>
            </w14:solidFill>
          </w14:textFill>
        </w:rPr>
        <w:t>设施运营效率，有益于改善湘桥市水环境、人居环境和投资环境，具有较强的社会效益和环境效益。</w:t>
      </w:r>
      <w:bookmarkEnd w:id="321"/>
    </w:p>
    <w:p w14:paraId="01E8EEDD">
      <w:pPr>
        <w:pStyle w:val="4"/>
      </w:pPr>
      <w:bookmarkStart w:id="322" w:name="_Toc5276"/>
      <w:bookmarkStart w:id="323" w:name="_Toc31338"/>
      <w:bookmarkStart w:id="324" w:name="_Toc2548"/>
      <w:bookmarkStart w:id="325" w:name="_Toc188530572"/>
      <w:r>
        <w:t>（二）建议</w:t>
      </w:r>
      <w:bookmarkEnd w:id="322"/>
      <w:bookmarkEnd w:id="323"/>
      <w:bookmarkEnd w:id="324"/>
      <w:bookmarkEnd w:id="325"/>
    </w:p>
    <w:p w14:paraId="4ED98D6B">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pPr>
      <w:bookmarkStart w:id="326" w:name="_Toc23831"/>
      <w:r>
        <w:rPr>
          <w:rFonts w:ascii="Times New Roman Regular" w:hAnsi="Times New Roman Regular" w:eastAsia="仿宋_GB2312" w:cs="Times New Roman Regular"/>
          <w:color w:val="000000" w:themeColor="text1"/>
          <w:sz w:val="28"/>
          <w:szCs w:val="28"/>
          <w14:textFill>
            <w14:solidFill>
              <w14:schemeClr w14:val="tx1"/>
            </w14:solidFill>
          </w14:textFill>
        </w:rPr>
        <w:t>1、</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本项目涉及5</w:t>
      </w:r>
      <w:r>
        <w:rPr>
          <w:rFonts w:ascii="Times New Roman Regular" w:hAnsi="Times New Roman Regular" w:eastAsia="仿宋_GB2312" w:cs="Times New Roman Regular"/>
          <w:color w:val="000000" w:themeColor="text1"/>
          <w:sz w:val="28"/>
          <w:szCs w:val="28"/>
          <w14:textFill>
            <w14:solidFill>
              <w14:schemeClr w14:val="tx1"/>
            </w14:solidFill>
          </w14:textFill>
        </w:rPr>
        <w:t>2</w:t>
      </w: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个自然村的污水治理设施，包括已投入运营的，刚完工的，也有即将完工仍在建设中的，建议加强跟相关单位如代运营单位、建设单位及村镇的协调沟通，确保设施能及时顺利交由特许经营单位。</w:t>
      </w:r>
    </w:p>
    <w:p w14:paraId="4D8BA685">
      <w:pPr>
        <w:pStyle w:val="17"/>
        <w:widowControl/>
        <w:shd w:val="clear" w:color="auto" w:fill="FFFFFF"/>
        <w:spacing w:beforeAutospacing="0" w:afterAutospacing="0"/>
        <w:ind w:firstLine="560" w:firstLineChars="200"/>
        <w:jc w:val="both"/>
        <w:rPr>
          <w:rFonts w:ascii="Times New Roman Regular" w:hAnsi="Times New Roman Regular" w:eastAsia="仿宋_GB2312" w:cs="Times New Roman Regular"/>
          <w:color w:val="000000" w:themeColor="text1"/>
          <w:sz w:val="28"/>
          <w:szCs w:val="28"/>
          <w14:textFill>
            <w14:solidFill>
              <w14:schemeClr w14:val="tx1"/>
            </w14:solidFill>
          </w14:textFill>
        </w:rPr>
        <w:sectPr>
          <w:footerReference r:id="rId4" w:type="default"/>
          <w:pgSz w:w="11906" w:h="16838"/>
          <w:pgMar w:top="1440" w:right="1349" w:bottom="1440" w:left="1349" w:header="851" w:footer="992" w:gutter="0"/>
          <w:pgNumType w:start="1"/>
          <w:cols w:space="425" w:num="1"/>
          <w:docGrid w:type="lines" w:linePitch="312" w:charSpace="0"/>
        </w:sectPr>
      </w:pPr>
      <w:r>
        <w:rPr>
          <w:rFonts w:hint="eastAsia" w:ascii="Times New Roman Regular" w:hAnsi="Times New Roman Regular" w:eastAsia="仿宋_GB2312" w:cs="Times New Roman Regular"/>
          <w:color w:val="000000" w:themeColor="text1"/>
          <w:sz w:val="28"/>
          <w:szCs w:val="28"/>
          <w14:textFill>
            <w14:solidFill>
              <w14:schemeClr w14:val="tx1"/>
            </w14:solidFill>
          </w14:textFill>
        </w:rPr>
        <w:t>2、农村污水治理是个大工程，建议尽快完善农村污水处理费收费机制，有利于农村污水治理事业的可持续发展。</w:t>
      </w:r>
      <w:bookmarkEnd w:id="326"/>
    </w:p>
    <w:p w14:paraId="49B6CFA5">
      <w:pPr>
        <w:pStyle w:val="4"/>
      </w:pPr>
      <w:r>
        <w:tab/>
      </w:r>
      <w:bookmarkStart w:id="327" w:name="_Toc188530573"/>
      <w:r>
        <w:t>附件</w:t>
      </w:r>
      <w:r>
        <w:rPr>
          <w:rFonts w:hint="eastAsia"/>
        </w:rPr>
        <w:t>一</w:t>
      </w:r>
      <w:r>
        <w:t>：资产评估报告</w:t>
      </w:r>
      <w:r>
        <w:rPr>
          <w:rFonts w:hint="eastAsia"/>
        </w:rPr>
        <w:t>（待补充）</w:t>
      </w:r>
      <w:bookmarkEnd w:id="327"/>
    </w:p>
    <w:p w14:paraId="30951523">
      <w:pPr>
        <w:outlineLvl w:val="2"/>
        <w:rPr>
          <w:rFonts w:ascii="Times New Roman Regular" w:hAnsi="Times New Roman Regular" w:cs="Times New Roman Regular"/>
          <w:color w:val="000000" w:themeColor="text1"/>
          <w14:textFill>
            <w14:solidFill>
              <w14:schemeClr w14:val="tx1"/>
            </w14:solidFill>
          </w14:textFill>
        </w:rPr>
        <w:sectPr>
          <w:pgSz w:w="11906" w:h="16838"/>
          <w:pgMar w:top="1440" w:right="1797" w:bottom="1440" w:left="1797" w:header="851" w:footer="992" w:gutter="0"/>
          <w:cols w:space="425" w:num="1"/>
          <w:docGrid w:type="lines" w:linePitch="312" w:charSpace="0"/>
        </w:sectPr>
      </w:pPr>
      <w:r>
        <w:rPr>
          <w:rFonts w:ascii="Times New Roman Regular" w:hAnsi="Times New Roman Regular" w:cs="Times New Roman Regular"/>
          <w:color w:val="000000" w:themeColor="text1"/>
          <w14:textFill>
            <w14:solidFill>
              <w14:schemeClr w14:val="tx1"/>
            </w14:solidFill>
          </w14:textFill>
        </w:rPr>
        <w:br w:type="page"/>
      </w:r>
    </w:p>
    <w:p w14:paraId="0552DF14">
      <w:pPr>
        <w:pStyle w:val="4"/>
      </w:pPr>
      <w:r>
        <w:t xml:space="preserve"> </w:t>
      </w:r>
      <w:bookmarkStart w:id="328" w:name="_Toc188530574"/>
      <w:r>
        <w:t>附件</w:t>
      </w:r>
      <w:r>
        <w:rPr>
          <w:rFonts w:hint="eastAsia"/>
        </w:rPr>
        <w:t>二</w:t>
      </w:r>
      <w:r>
        <w:t>：财务测算表格</w:t>
      </w:r>
      <w:bookmarkEnd w:id="328"/>
    </w:p>
    <w:p w14:paraId="7D3BE976">
      <w:pPr>
        <w:pStyle w:val="5"/>
      </w:pPr>
      <w:r>
        <w:rPr>
          <w:rFonts w:hint="eastAsia"/>
        </w:rPr>
        <w:t>1、成本费用表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373"/>
        <w:gridCol w:w="808"/>
        <w:gridCol w:w="808"/>
        <w:gridCol w:w="809"/>
        <w:gridCol w:w="809"/>
        <w:gridCol w:w="809"/>
        <w:gridCol w:w="810"/>
        <w:gridCol w:w="810"/>
        <w:gridCol w:w="810"/>
        <w:gridCol w:w="810"/>
        <w:gridCol w:w="810"/>
        <w:gridCol w:w="810"/>
        <w:gridCol w:w="810"/>
        <w:gridCol w:w="810"/>
        <w:gridCol w:w="810"/>
        <w:gridCol w:w="810"/>
      </w:tblGrid>
      <w:tr w14:paraId="4382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1E864C3C">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 xml:space="preserve">序号 </w:t>
            </w:r>
          </w:p>
        </w:tc>
        <w:tc>
          <w:tcPr>
            <w:tcW w:w="1373" w:type="dxa"/>
          </w:tcPr>
          <w:p w14:paraId="21276C72">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运营年</w:t>
            </w:r>
          </w:p>
        </w:tc>
        <w:tc>
          <w:tcPr>
            <w:tcW w:w="808" w:type="dxa"/>
          </w:tcPr>
          <w:p w14:paraId="0078124E">
            <w:pPr>
              <w:jc w:val="center"/>
              <w:rPr>
                <w:sz w:val="18"/>
                <w:szCs w:val="18"/>
              </w:rPr>
            </w:pPr>
            <w:r>
              <w:rPr>
                <w:sz w:val="18"/>
                <w:szCs w:val="18"/>
              </w:rPr>
              <w:t>1</w:t>
            </w:r>
          </w:p>
        </w:tc>
        <w:tc>
          <w:tcPr>
            <w:tcW w:w="808" w:type="dxa"/>
          </w:tcPr>
          <w:p w14:paraId="1962F95A">
            <w:pPr>
              <w:jc w:val="center"/>
              <w:rPr>
                <w:sz w:val="18"/>
                <w:szCs w:val="18"/>
              </w:rPr>
            </w:pPr>
            <w:r>
              <w:rPr>
                <w:sz w:val="18"/>
                <w:szCs w:val="18"/>
              </w:rPr>
              <w:t>2</w:t>
            </w:r>
          </w:p>
        </w:tc>
        <w:tc>
          <w:tcPr>
            <w:tcW w:w="809" w:type="dxa"/>
          </w:tcPr>
          <w:p w14:paraId="0504C253">
            <w:pPr>
              <w:jc w:val="center"/>
              <w:rPr>
                <w:sz w:val="18"/>
                <w:szCs w:val="18"/>
              </w:rPr>
            </w:pPr>
            <w:r>
              <w:rPr>
                <w:sz w:val="18"/>
                <w:szCs w:val="18"/>
              </w:rPr>
              <w:t>3</w:t>
            </w:r>
          </w:p>
        </w:tc>
        <w:tc>
          <w:tcPr>
            <w:tcW w:w="809" w:type="dxa"/>
          </w:tcPr>
          <w:p w14:paraId="229F93DA">
            <w:pPr>
              <w:jc w:val="center"/>
              <w:rPr>
                <w:sz w:val="18"/>
                <w:szCs w:val="18"/>
              </w:rPr>
            </w:pPr>
            <w:r>
              <w:rPr>
                <w:sz w:val="18"/>
                <w:szCs w:val="18"/>
              </w:rPr>
              <w:t>4</w:t>
            </w:r>
          </w:p>
        </w:tc>
        <w:tc>
          <w:tcPr>
            <w:tcW w:w="809" w:type="dxa"/>
          </w:tcPr>
          <w:p w14:paraId="5EF7DC09">
            <w:pPr>
              <w:jc w:val="center"/>
              <w:rPr>
                <w:sz w:val="18"/>
                <w:szCs w:val="18"/>
              </w:rPr>
            </w:pPr>
            <w:r>
              <w:rPr>
                <w:sz w:val="18"/>
                <w:szCs w:val="18"/>
              </w:rPr>
              <w:t>5</w:t>
            </w:r>
          </w:p>
        </w:tc>
        <w:tc>
          <w:tcPr>
            <w:tcW w:w="810" w:type="dxa"/>
          </w:tcPr>
          <w:p w14:paraId="65C1328D">
            <w:pPr>
              <w:jc w:val="center"/>
              <w:rPr>
                <w:sz w:val="18"/>
                <w:szCs w:val="18"/>
              </w:rPr>
            </w:pPr>
            <w:r>
              <w:rPr>
                <w:sz w:val="18"/>
                <w:szCs w:val="18"/>
              </w:rPr>
              <w:t>6</w:t>
            </w:r>
          </w:p>
        </w:tc>
        <w:tc>
          <w:tcPr>
            <w:tcW w:w="810" w:type="dxa"/>
          </w:tcPr>
          <w:p w14:paraId="3FBD3552">
            <w:pPr>
              <w:jc w:val="center"/>
              <w:rPr>
                <w:sz w:val="18"/>
                <w:szCs w:val="18"/>
              </w:rPr>
            </w:pPr>
            <w:r>
              <w:rPr>
                <w:sz w:val="18"/>
                <w:szCs w:val="18"/>
              </w:rPr>
              <w:t>7</w:t>
            </w:r>
          </w:p>
        </w:tc>
        <w:tc>
          <w:tcPr>
            <w:tcW w:w="810" w:type="dxa"/>
          </w:tcPr>
          <w:p w14:paraId="58B36C6B">
            <w:pPr>
              <w:jc w:val="center"/>
              <w:rPr>
                <w:sz w:val="18"/>
                <w:szCs w:val="18"/>
              </w:rPr>
            </w:pPr>
            <w:r>
              <w:rPr>
                <w:sz w:val="18"/>
                <w:szCs w:val="18"/>
              </w:rPr>
              <w:t>8</w:t>
            </w:r>
          </w:p>
        </w:tc>
        <w:tc>
          <w:tcPr>
            <w:tcW w:w="810" w:type="dxa"/>
          </w:tcPr>
          <w:p w14:paraId="765338B5">
            <w:pPr>
              <w:jc w:val="center"/>
              <w:rPr>
                <w:sz w:val="18"/>
                <w:szCs w:val="18"/>
              </w:rPr>
            </w:pPr>
            <w:r>
              <w:rPr>
                <w:sz w:val="18"/>
                <w:szCs w:val="18"/>
              </w:rPr>
              <w:t>9</w:t>
            </w:r>
          </w:p>
        </w:tc>
        <w:tc>
          <w:tcPr>
            <w:tcW w:w="810" w:type="dxa"/>
          </w:tcPr>
          <w:p w14:paraId="71B370E9">
            <w:pPr>
              <w:jc w:val="center"/>
              <w:rPr>
                <w:sz w:val="18"/>
                <w:szCs w:val="18"/>
              </w:rPr>
            </w:pPr>
            <w:r>
              <w:rPr>
                <w:sz w:val="18"/>
                <w:szCs w:val="18"/>
              </w:rPr>
              <w:t>10</w:t>
            </w:r>
          </w:p>
        </w:tc>
        <w:tc>
          <w:tcPr>
            <w:tcW w:w="810" w:type="dxa"/>
          </w:tcPr>
          <w:p w14:paraId="0BFF8FE9">
            <w:pPr>
              <w:jc w:val="center"/>
              <w:rPr>
                <w:sz w:val="18"/>
                <w:szCs w:val="18"/>
              </w:rPr>
            </w:pPr>
            <w:r>
              <w:rPr>
                <w:sz w:val="18"/>
                <w:szCs w:val="18"/>
              </w:rPr>
              <w:t>11</w:t>
            </w:r>
          </w:p>
        </w:tc>
        <w:tc>
          <w:tcPr>
            <w:tcW w:w="810" w:type="dxa"/>
          </w:tcPr>
          <w:p w14:paraId="66409B75">
            <w:pPr>
              <w:jc w:val="center"/>
              <w:rPr>
                <w:sz w:val="18"/>
                <w:szCs w:val="18"/>
              </w:rPr>
            </w:pPr>
            <w:r>
              <w:rPr>
                <w:sz w:val="18"/>
                <w:szCs w:val="18"/>
              </w:rPr>
              <w:t>12</w:t>
            </w:r>
          </w:p>
        </w:tc>
        <w:tc>
          <w:tcPr>
            <w:tcW w:w="810" w:type="dxa"/>
          </w:tcPr>
          <w:p w14:paraId="5798D216">
            <w:pPr>
              <w:jc w:val="center"/>
              <w:rPr>
                <w:sz w:val="18"/>
                <w:szCs w:val="18"/>
              </w:rPr>
            </w:pPr>
            <w:r>
              <w:rPr>
                <w:sz w:val="18"/>
                <w:szCs w:val="18"/>
              </w:rPr>
              <w:t>13</w:t>
            </w:r>
          </w:p>
        </w:tc>
        <w:tc>
          <w:tcPr>
            <w:tcW w:w="810" w:type="dxa"/>
          </w:tcPr>
          <w:p w14:paraId="1CC07621">
            <w:pPr>
              <w:jc w:val="center"/>
              <w:rPr>
                <w:sz w:val="18"/>
                <w:szCs w:val="18"/>
              </w:rPr>
            </w:pPr>
            <w:r>
              <w:rPr>
                <w:sz w:val="18"/>
                <w:szCs w:val="18"/>
              </w:rPr>
              <w:t>14</w:t>
            </w:r>
          </w:p>
        </w:tc>
        <w:tc>
          <w:tcPr>
            <w:tcW w:w="810" w:type="dxa"/>
          </w:tcPr>
          <w:p w14:paraId="1E808531">
            <w:pPr>
              <w:jc w:val="center"/>
              <w:rPr>
                <w:sz w:val="18"/>
                <w:szCs w:val="18"/>
              </w:rPr>
            </w:pPr>
            <w:r>
              <w:rPr>
                <w:sz w:val="18"/>
                <w:szCs w:val="18"/>
              </w:rPr>
              <w:t>15</w:t>
            </w:r>
          </w:p>
        </w:tc>
      </w:tr>
      <w:tr w14:paraId="5BAE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7AE723CA">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w:t>
            </w:r>
          </w:p>
        </w:tc>
        <w:tc>
          <w:tcPr>
            <w:tcW w:w="1373" w:type="dxa"/>
          </w:tcPr>
          <w:p w14:paraId="1054F997">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生产成本</w:t>
            </w:r>
          </w:p>
        </w:tc>
        <w:tc>
          <w:tcPr>
            <w:tcW w:w="808" w:type="dxa"/>
          </w:tcPr>
          <w:p w14:paraId="26F7DD6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08" w:type="dxa"/>
          </w:tcPr>
          <w:p w14:paraId="0DF5F0E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09" w:type="dxa"/>
          </w:tcPr>
          <w:p w14:paraId="2F273C5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09" w:type="dxa"/>
          </w:tcPr>
          <w:p w14:paraId="0F41889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09" w:type="dxa"/>
          </w:tcPr>
          <w:p w14:paraId="602256F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206FCFA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7C7CEAF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5F4DF3C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4C8DACB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72272A9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6399BB5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1BB50CB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0BB68C7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7537C15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7700259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r>
      <w:tr w14:paraId="540F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50979592">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1.1</w:t>
            </w:r>
          </w:p>
        </w:tc>
        <w:tc>
          <w:tcPr>
            <w:tcW w:w="1373" w:type="dxa"/>
          </w:tcPr>
          <w:p w14:paraId="6251E132">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分散设施运维费</w:t>
            </w:r>
          </w:p>
        </w:tc>
        <w:tc>
          <w:tcPr>
            <w:tcW w:w="808" w:type="dxa"/>
          </w:tcPr>
          <w:p w14:paraId="7A392F3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08" w:type="dxa"/>
          </w:tcPr>
          <w:p w14:paraId="7ED5ABC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09" w:type="dxa"/>
          </w:tcPr>
          <w:p w14:paraId="662B8D6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09" w:type="dxa"/>
          </w:tcPr>
          <w:p w14:paraId="2FDC13A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09" w:type="dxa"/>
          </w:tcPr>
          <w:p w14:paraId="28EB2E8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6165061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7BA6EB9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4DA977F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796B424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22DA5C9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2E1EA25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6847824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1A5DDC5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1DDB142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78A1037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r>
      <w:tr w14:paraId="0B34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00D5A2EB">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1.2</w:t>
            </w:r>
          </w:p>
        </w:tc>
        <w:tc>
          <w:tcPr>
            <w:tcW w:w="1373" w:type="dxa"/>
          </w:tcPr>
          <w:p w14:paraId="1ED7BDE1">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分散设施维修费</w:t>
            </w:r>
          </w:p>
        </w:tc>
        <w:tc>
          <w:tcPr>
            <w:tcW w:w="808" w:type="dxa"/>
          </w:tcPr>
          <w:p w14:paraId="559C368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08" w:type="dxa"/>
          </w:tcPr>
          <w:p w14:paraId="64E4E3E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09" w:type="dxa"/>
          </w:tcPr>
          <w:p w14:paraId="3C08B51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09" w:type="dxa"/>
          </w:tcPr>
          <w:p w14:paraId="351823D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09" w:type="dxa"/>
          </w:tcPr>
          <w:p w14:paraId="7A2321C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30D3BE1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46312AE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674723D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2F363BE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4EA5F0F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4F1A86A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47AC9AB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43B86DD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1559D72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329EA53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r>
      <w:tr w14:paraId="5C06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683BF51B">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1.3</w:t>
            </w:r>
          </w:p>
        </w:tc>
        <w:tc>
          <w:tcPr>
            <w:tcW w:w="1373" w:type="dxa"/>
          </w:tcPr>
          <w:p w14:paraId="5F36EC1E">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管网运维费</w:t>
            </w:r>
          </w:p>
        </w:tc>
        <w:tc>
          <w:tcPr>
            <w:tcW w:w="808" w:type="dxa"/>
          </w:tcPr>
          <w:p w14:paraId="590D168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08" w:type="dxa"/>
          </w:tcPr>
          <w:p w14:paraId="6626653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09" w:type="dxa"/>
          </w:tcPr>
          <w:p w14:paraId="6A064BA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09" w:type="dxa"/>
          </w:tcPr>
          <w:p w14:paraId="0E90D02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09" w:type="dxa"/>
          </w:tcPr>
          <w:p w14:paraId="648E78D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48BF39B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6B16A26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5E616A1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5A2ED26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514BD85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65B88B8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73CCA94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0D870BB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10D86BB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59A9A40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r>
      <w:tr w14:paraId="76A6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797BD95D">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1.4</w:t>
            </w:r>
          </w:p>
        </w:tc>
        <w:tc>
          <w:tcPr>
            <w:tcW w:w="1373" w:type="dxa"/>
          </w:tcPr>
          <w:p w14:paraId="1F4ECD15">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管网大中修费</w:t>
            </w:r>
          </w:p>
        </w:tc>
        <w:tc>
          <w:tcPr>
            <w:tcW w:w="808" w:type="dxa"/>
          </w:tcPr>
          <w:p w14:paraId="2D1E61B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08" w:type="dxa"/>
          </w:tcPr>
          <w:p w14:paraId="01968C9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09" w:type="dxa"/>
          </w:tcPr>
          <w:p w14:paraId="079BFC5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09" w:type="dxa"/>
          </w:tcPr>
          <w:p w14:paraId="062C184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09" w:type="dxa"/>
          </w:tcPr>
          <w:p w14:paraId="64AD3BF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64E364B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029A9B3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004065D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418ED38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1F56A3C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59D5F7E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00939D3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3A02904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0F66036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579E802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r>
      <w:tr w14:paraId="6AF1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68750A9F">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1.5</w:t>
            </w:r>
          </w:p>
        </w:tc>
        <w:tc>
          <w:tcPr>
            <w:tcW w:w="1373" w:type="dxa"/>
          </w:tcPr>
          <w:p w14:paraId="6D2557FE">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人工成本</w:t>
            </w:r>
          </w:p>
        </w:tc>
        <w:tc>
          <w:tcPr>
            <w:tcW w:w="808" w:type="dxa"/>
          </w:tcPr>
          <w:p w14:paraId="4CAD8A2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08" w:type="dxa"/>
          </w:tcPr>
          <w:p w14:paraId="389912B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09" w:type="dxa"/>
          </w:tcPr>
          <w:p w14:paraId="636EF00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09" w:type="dxa"/>
          </w:tcPr>
          <w:p w14:paraId="31FC4E8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09" w:type="dxa"/>
          </w:tcPr>
          <w:p w14:paraId="375DA48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1E7CAE5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3038683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7F03CDF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500071F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3C20DB4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53894F1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55AC21C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4799F71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78A8EE9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03D7054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r>
      <w:tr w14:paraId="185D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4B8E6CCF">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1.6</w:t>
            </w:r>
          </w:p>
        </w:tc>
        <w:tc>
          <w:tcPr>
            <w:tcW w:w="1373" w:type="dxa"/>
          </w:tcPr>
          <w:p w14:paraId="31F12F6B">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其他费</w:t>
            </w:r>
          </w:p>
        </w:tc>
        <w:tc>
          <w:tcPr>
            <w:tcW w:w="808" w:type="dxa"/>
          </w:tcPr>
          <w:p w14:paraId="0CB4FD2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08" w:type="dxa"/>
          </w:tcPr>
          <w:p w14:paraId="165FABF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09" w:type="dxa"/>
          </w:tcPr>
          <w:p w14:paraId="6F55C9F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09" w:type="dxa"/>
          </w:tcPr>
          <w:p w14:paraId="49313C3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09" w:type="dxa"/>
          </w:tcPr>
          <w:p w14:paraId="00E06BE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3C97D61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27FDA03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47F7BA6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05B65D7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402BFDC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72B3EF4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7BEF0F7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1D30591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62D7792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7F4F181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r>
      <w:tr w14:paraId="3B9B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47A25A06">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2</w:t>
            </w:r>
          </w:p>
        </w:tc>
        <w:tc>
          <w:tcPr>
            <w:tcW w:w="1373" w:type="dxa"/>
          </w:tcPr>
          <w:p w14:paraId="3A647BD6">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折旧摊销</w:t>
            </w:r>
          </w:p>
        </w:tc>
        <w:tc>
          <w:tcPr>
            <w:tcW w:w="808" w:type="dxa"/>
          </w:tcPr>
          <w:p w14:paraId="3BEF8A8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08" w:type="dxa"/>
          </w:tcPr>
          <w:p w14:paraId="6FA2F37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09" w:type="dxa"/>
          </w:tcPr>
          <w:p w14:paraId="5963684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09" w:type="dxa"/>
          </w:tcPr>
          <w:p w14:paraId="55A39D3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09" w:type="dxa"/>
          </w:tcPr>
          <w:p w14:paraId="00D24C4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1EC3F8D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5F2EDFF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24522BF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7F6D1A7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179E080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24A5B2B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03C580E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4AEEEBC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4AD7B3D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501B1FB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r>
      <w:tr w14:paraId="2F74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57D5070A">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3</w:t>
            </w:r>
          </w:p>
        </w:tc>
        <w:tc>
          <w:tcPr>
            <w:tcW w:w="1373" w:type="dxa"/>
          </w:tcPr>
          <w:p w14:paraId="227BFA94">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财务费用</w:t>
            </w:r>
          </w:p>
        </w:tc>
        <w:tc>
          <w:tcPr>
            <w:tcW w:w="808" w:type="dxa"/>
          </w:tcPr>
          <w:p w14:paraId="0948C17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314.86</w:t>
            </w:r>
          </w:p>
        </w:tc>
        <w:tc>
          <w:tcPr>
            <w:tcW w:w="808" w:type="dxa"/>
          </w:tcPr>
          <w:p w14:paraId="47334AA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308.86</w:t>
            </w:r>
          </w:p>
        </w:tc>
        <w:tc>
          <w:tcPr>
            <w:tcW w:w="809" w:type="dxa"/>
          </w:tcPr>
          <w:p w14:paraId="15C2A5C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302.64</w:t>
            </w:r>
          </w:p>
        </w:tc>
        <w:tc>
          <w:tcPr>
            <w:tcW w:w="809" w:type="dxa"/>
          </w:tcPr>
          <w:p w14:paraId="675EB25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296.20</w:t>
            </w:r>
          </w:p>
        </w:tc>
        <w:tc>
          <w:tcPr>
            <w:tcW w:w="809" w:type="dxa"/>
          </w:tcPr>
          <w:p w14:paraId="36EC6E6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289.53</w:t>
            </w:r>
          </w:p>
        </w:tc>
        <w:tc>
          <w:tcPr>
            <w:tcW w:w="810" w:type="dxa"/>
          </w:tcPr>
          <w:p w14:paraId="275515A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282.62</w:t>
            </w:r>
          </w:p>
        </w:tc>
        <w:tc>
          <w:tcPr>
            <w:tcW w:w="810" w:type="dxa"/>
          </w:tcPr>
          <w:p w14:paraId="062B86A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275.46</w:t>
            </w:r>
          </w:p>
        </w:tc>
        <w:tc>
          <w:tcPr>
            <w:tcW w:w="810" w:type="dxa"/>
          </w:tcPr>
          <w:p w14:paraId="4ED95AE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268.04</w:t>
            </w:r>
          </w:p>
        </w:tc>
        <w:tc>
          <w:tcPr>
            <w:tcW w:w="810" w:type="dxa"/>
          </w:tcPr>
          <w:p w14:paraId="03805C0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260.36</w:t>
            </w:r>
          </w:p>
        </w:tc>
        <w:tc>
          <w:tcPr>
            <w:tcW w:w="810" w:type="dxa"/>
          </w:tcPr>
          <w:p w14:paraId="6E566C4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252.40</w:t>
            </w:r>
          </w:p>
        </w:tc>
        <w:tc>
          <w:tcPr>
            <w:tcW w:w="810" w:type="dxa"/>
          </w:tcPr>
          <w:p w14:paraId="0484B87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244.15</w:t>
            </w:r>
          </w:p>
        </w:tc>
        <w:tc>
          <w:tcPr>
            <w:tcW w:w="810" w:type="dxa"/>
          </w:tcPr>
          <w:p w14:paraId="72A44FA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235.60</w:t>
            </w:r>
          </w:p>
        </w:tc>
        <w:tc>
          <w:tcPr>
            <w:tcW w:w="810" w:type="dxa"/>
          </w:tcPr>
          <w:p w14:paraId="249128B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226.75</w:t>
            </w:r>
          </w:p>
        </w:tc>
        <w:tc>
          <w:tcPr>
            <w:tcW w:w="810" w:type="dxa"/>
          </w:tcPr>
          <w:p w14:paraId="6FD2D28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217.58</w:t>
            </w:r>
          </w:p>
        </w:tc>
        <w:tc>
          <w:tcPr>
            <w:tcW w:w="810" w:type="dxa"/>
          </w:tcPr>
          <w:p w14:paraId="05E4A40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208.08</w:t>
            </w:r>
          </w:p>
        </w:tc>
      </w:tr>
      <w:tr w14:paraId="5F1C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gridSpan w:val="2"/>
          </w:tcPr>
          <w:p w14:paraId="2E14FAA6">
            <w:pPr>
              <w:rPr>
                <w:sz w:val="18"/>
                <w:szCs w:val="18"/>
              </w:rPr>
            </w:pPr>
            <w:r>
              <w:rPr>
                <w:rFonts w:hint="eastAsia"/>
                <w:sz w:val="18"/>
                <w:szCs w:val="18"/>
              </w:rPr>
              <w:t>总成本</w:t>
            </w:r>
          </w:p>
        </w:tc>
        <w:tc>
          <w:tcPr>
            <w:tcW w:w="808" w:type="dxa"/>
          </w:tcPr>
          <w:p w14:paraId="75E06F38">
            <w:pPr>
              <w:rPr>
                <w:sz w:val="18"/>
                <w:szCs w:val="18"/>
              </w:rPr>
            </w:pPr>
            <w:r>
              <w:rPr>
                <w:sz w:val="18"/>
                <w:szCs w:val="18"/>
              </w:rPr>
              <w:t>937.77</w:t>
            </w:r>
          </w:p>
        </w:tc>
        <w:tc>
          <w:tcPr>
            <w:tcW w:w="808" w:type="dxa"/>
          </w:tcPr>
          <w:p w14:paraId="3E17AB09">
            <w:pPr>
              <w:rPr>
                <w:sz w:val="18"/>
                <w:szCs w:val="18"/>
              </w:rPr>
            </w:pPr>
            <w:r>
              <w:rPr>
                <w:sz w:val="18"/>
                <w:szCs w:val="18"/>
              </w:rPr>
              <w:t>931.77</w:t>
            </w:r>
          </w:p>
        </w:tc>
        <w:tc>
          <w:tcPr>
            <w:tcW w:w="809" w:type="dxa"/>
          </w:tcPr>
          <w:p w14:paraId="2D093D21">
            <w:pPr>
              <w:rPr>
                <w:sz w:val="18"/>
                <w:szCs w:val="18"/>
              </w:rPr>
            </w:pPr>
            <w:r>
              <w:rPr>
                <w:sz w:val="18"/>
                <w:szCs w:val="18"/>
              </w:rPr>
              <w:t>925.56</w:t>
            </w:r>
          </w:p>
        </w:tc>
        <w:tc>
          <w:tcPr>
            <w:tcW w:w="809" w:type="dxa"/>
          </w:tcPr>
          <w:p w14:paraId="567AF20E">
            <w:pPr>
              <w:rPr>
                <w:sz w:val="18"/>
                <w:szCs w:val="18"/>
              </w:rPr>
            </w:pPr>
            <w:r>
              <w:rPr>
                <w:sz w:val="18"/>
                <w:szCs w:val="18"/>
              </w:rPr>
              <w:t>919.12</w:t>
            </w:r>
          </w:p>
        </w:tc>
        <w:tc>
          <w:tcPr>
            <w:tcW w:w="809" w:type="dxa"/>
          </w:tcPr>
          <w:p w14:paraId="45A4DF79">
            <w:pPr>
              <w:rPr>
                <w:sz w:val="18"/>
                <w:szCs w:val="18"/>
              </w:rPr>
            </w:pPr>
            <w:r>
              <w:rPr>
                <w:sz w:val="18"/>
                <w:szCs w:val="18"/>
              </w:rPr>
              <w:t>912.45</w:t>
            </w:r>
          </w:p>
        </w:tc>
        <w:tc>
          <w:tcPr>
            <w:tcW w:w="810" w:type="dxa"/>
          </w:tcPr>
          <w:p w14:paraId="611DFD5F">
            <w:pPr>
              <w:rPr>
                <w:sz w:val="18"/>
                <w:szCs w:val="18"/>
              </w:rPr>
            </w:pPr>
            <w:r>
              <w:rPr>
                <w:sz w:val="18"/>
                <w:szCs w:val="18"/>
              </w:rPr>
              <w:t>905.54</w:t>
            </w:r>
          </w:p>
        </w:tc>
        <w:tc>
          <w:tcPr>
            <w:tcW w:w="810" w:type="dxa"/>
          </w:tcPr>
          <w:p w14:paraId="568E0C3D">
            <w:pPr>
              <w:rPr>
                <w:sz w:val="18"/>
                <w:szCs w:val="18"/>
              </w:rPr>
            </w:pPr>
            <w:r>
              <w:rPr>
                <w:sz w:val="18"/>
                <w:szCs w:val="18"/>
              </w:rPr>
              <w:t>898.38</w:t>
            </w:r>
          </w:p>
        </w:tc>
        <w:tc>
          <w:tcPr>
            <w:tcW w:w="810" w:type="dxa"/>
          </w:tcPr>
          <w:p w14:paraId="22785B20">
            <w:pPr>
              <w:rPr>
                <w:sz w:val="18"/>
                <w:szCs w:val="18"/>
              </w:rPr>
            </w:pPr>
            <w:r>
              <w:rPr>
                <w:sz w:val="18"/>
                <w:szCs w:val="18"/>
              </w:rPr>
              <w:t>890.96</w:t>
            </w:r>
          </w:p>
        </w:tc>
        <w:tc>
          <w:tcPr>
            <w:tcW w:w="810" w:type="dxa"/>
          </w:tcPr>
          <w:p w14:paraId="7E4CA1BA">
            <w:pPr>
              <w:rPr>
                <w:sz w:val="18"/>
                <w:szCs w:val="18"/>
              </w:rPr>
            </w:pPr>
            <w:r>
              <w:rPr>
                <w:sz w:val="18"/>
                <w:szCs w:val="18"/>
              </w:rPr>
              <w:t>883.28</w:t>
            </w:r>
          </w:p>
        </w:tc>
        <w:tc>
          <w:tcPr>
            <w:tcW w:w="810" w:type="dxa"/>
          </w:tcPr>
          <w:p w14:paraId="5CE56B3B">
            <w:pPr>
              <w:rPr>
                <w:sz w:val="18"/>
                <w:szCs w:val="18"/>
              </w:rPr>
            </w:pPr>
            <w:r>
              <w:rPr>
                <w:sz w:val="18"/>
                <w:szCs w:val="18"/>
              </w:rPr>
              <w:t>875.31</w:t>
            </w:r>
          </w:p>
        </w:tc>
        <w:tc>
          <w:tcPr>
            <w:tcW w:w="810" w:type="dxa"/>
          </w:tcPr>
          <w:p w14:paraId="684FB0A4">
            <w:pPr>
              <w:rPr>
                <w:sz w:val="18"/>
                <w:szCs w:val="18"/>
              </w:rPr>
            </w:pPr>
            <w:r>
              <w:rPr>
                <w:sz w:val="18"/>
                <w:szCs w:val="18"/>
              </w:rPr>
              <w:t>867.07</w:t>
            </w:r>
          </w:p>
        </w:tc>
        <w:tc>
          <w:tcPr>
            <w:tcW w:w="810" w:type="dxa"/>
          </w:tcPr>
          <w:p w14:paraId="5438673B">
            <w:pPr>
              <w:rPr>
                <w:sz w:val="18"/>
                <w:szCs w:val="18"/>
              </w:rPr>
            </w:pPr>
            <w:r>
              <w:rPr>
                <w:sz w:val="18"/>
                <w:szCs w:val="18"/>
              </w:rPr>
              <w:t>858.52</w:t>
            </w:r>
          </w:p>
        </w:tc>
        <w:tc>
          <w:tcPr>
            <w:tcW w:w="810" w:type="dxa"/>
          </w:tcPr>
          <w:p w14:paraId="12DD329B">
            <w:pPr>
              <w:rPr>
                <w:sz w:val="18"/>
                <w:szCs w:val="18"/>
              </w:rPr>
            </w:pPr>
            <w:r>
              <w:rPr>
                <w:sz w:val="18"/>
                <w:szCs w:val="18"/>
              </w:rPr>
              <w:t>849.67</w:t>
            </w:r>
          </w:p>
        </w:tc>
        <w:tc>
          <w:tcPr>
            <w:tcW w:w="810" w:type="dxa"/>
          </w:tcPr>
          <w:p w14:paraId="4AEB1490">
            <w:pPr>
              <w:rPr>
                <w:sz w:val="18"/>
                <w:szCs w:val="18"/>
              </w:rPr>
            </w:pPr>
            <w:r>
              <w:rPr>
                <w:sz w:val="18"/>
                <w:szCs w:val="18"/>
              </w:rPr>
              <w:t>840.50</w:t>
            </w:r>
          </w:p>
        </w:tc>
        <w:tc>
          <w:tcPr>
            <w:tcW w:w="810" w:type="dxa"/>
          </w:tcPr>
          <w:p w14:paraId="3780B141">
            <w:pPr>
              <w:rPr>
                <w:sz w:val="18"/>
                <w:szCs w:val="18"/>
              </w:rPr>
            </w:pPr>
            <w:r>
              <w:rPr>
                <w:sz w:val="18"/>
                <w:szCs w:val="18"/>
              </w:rPr>
              <w:t>831.00</w:t>
            </w:r>
          </w:p>
        </w:tc>
      </w:tr>
    </w:tbl>
    <w:p w14:paraId="30C2469E">
      <w:pPr>
        <w:rPr>
          <w:rFonts w:ascii="Times New Roman Regular" w:hAnsi="Times New Roman Regular" w:cs="Times New Roman Regular"/>
          <w:color w:val="000000" w:themeColor="text1"/>
          <w14:textFill>
            <w14:solidFill>
              <w14:schemeClr w14:val="tx1"/>
            </w14:solidFill>
          </w14:textFill>
        </w:rPr>
      </w:pPr>
      <w:r>
        <w:rPr>
          <w:rFonts w:ascii="Times New Roman Regular" w:hAnsi="Times New Roman Regular" w:cs="Times New Roman Regular"/>
          <w:color w:val="000000" w:themeColor="text1"/>
          <w14:textFill>
            <w14:solidFill>
              <w14:schemeClr w14:val="tx1"/>
            </w14:solidFill>
          </w14:textFill>
        </w:rPr>
        <w:br w:type="page"/>
      </w:r>
    </w:p>
    <w:p w14:paraId="3E8C070E">
      <w:pPr>
        <w:rPr>
          <w:rFonts w:ascii="Times New Roman Regular" w:hAnsi="Times New Roman Regular" w:cs="Times New Roman Regular"/>
          <w:color w:val="000000" w:themeColor="text1"/>
          <w14:textFill>
            <w14:solidFill>
              <w14:schemeClr w14:val="tx1"/>
            </w14:solidFill>
          </w14:textFill>
        </w:rPr>
      </w:pPr>
      <w:r>
        <w:rPr>
          <w:rFonts w:hint="eastAsia" w:ascii="Times New Roman Regular" w:hAnsi="Times New Roman Regular" w:cs="Times New Roman Regular"/>
          <w:color w:val="000000" w:themeColor="text1"/>
          <w14:textFill>
            <w14:solidFill>
              <w14:schemeClr w14:val="tx1"/>
            </w14:solidFill>
          </w14:textFill>
        </w:rPr>
        <w:t>续上表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373"/>
        <w:gridCol w:w="808"/>
        <w:gridCol w:w="808"/>
        <w:gridCol w:w="809"/>
        <w:gridCol w:w="809"/>
        <w:gridCol w:w="809"/>
        <w:gridCol w:w="810"/>
        <w:gridCol w:w="810"/>
        <w:gridCol w:w="810"/>
        <w:gridCol w:w="810"/>
        <w:gridCol w:w="810"/>
        <w:gridCol w:w="810"/>
        <w:gridCol w:w="810"/>
        <w:gridCol w:w="810"/>
        <w:gridCol w:w="810"/>
        <w:gridCol w:w="810"/>
      </w:tblGrid>
      <w:tr w14:paraId="135C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16CE0E16">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 xml:space="preserve">序号 </w:t>
            </w:r>
          </w:p>
        </w:tc>
        <w:tc>
          <w:tcPr>
            <w:tcW w:w="1373" w:type="dxa"/>
          </w:tcPr>
          <w:p w14:paraId="79FF29D8">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运营年</w:t>
            </w:r>
          </w:p>
        </w:tc>
        <w:tc>
          <w:tcPr>
            <w:tcW w:w="808" w:type="dxa"/>
          </w:tcPr>
          <w:p w14:paraId="4CF54B17">
            <w:pPr>
              <w:jc w:val="center"/>
              <w:rPr>
                <w:sz w:val="18"/>
                <w:szCs w:val="18"/>
              </w:rPr>
            </w:pPr>
            <w:r>
              <w:rPr>
                <w:sz w:val="18"/>
                <w:szCs w:val="18"/>
              </w:rPr>
              <w:t>16</w:t>
            </w:r>
          </w:p>
        </w:tc>
        <w:tc>
          <w:tcPr>
            <w:tcW w:w="808" w:type="dxa"/>
          </w:tcPr>
          <w:p w14:paraId="794E8280">
            <w:pPr>
              <w:jc w:val="center"/>
              <w:rPr>
                <w:sz w:val="18"/>
                <w:szCs w:val="18"/>
              </w:rPr>
            </w:pPr>
            <w:r>
              <w:rPr>
                <w:sz w:val="18"/>
                <w:szCs w:val="18"/>
              </w:rPr>
              <w:t>17</w:t>
            </w:r>
          </w:p>
        </w:tc>
        <w:tc>
          <w:tcPr>
            <w:tcW w:w="809" w:type="dxa"/>
          </w:tcPr>
          <w:p w14:paraId="53F15DD6">
            <w:pPr>
              <w:jc w:val="center"/>
              <w:rPr>
                <w:sz w:val="18"/>
                <w:szCs w:val="18"/>
              </w:rPr>
            </w:pPr>
            <w:r>
              <w:rPr>
                <w:sz w:val="18"/>
                <w:szCs w:val="18"/>
              </w:rPr>
              <w:t>18</w:t>
            </w:r>
          </w:p>
        </w:tc>
        <w:tc>
          <w:tcPr>
            <w:tcW w:w="809" w:type="dxa"/>
          </w:tcPr>
          <w:p w14:paraId="6DA9C5F6">
            <w:pPr>
              <w:jc w:val="center"/>
              <w:rPr>
                <w:sz w:val="18"/>
                <w:szCs w:val="18"/>
              </w:rPr>
            </w:pPr>
            <w:r>
              <w:rPr>
                <w:sz w:val="18"/>
                <w:szCs w:val="18"/>
              </w:rPr>
              <w:t>19</w:t>
            </w:r>
          </w:p>
        </w:tc>
        <w:tc>
          <w:tcPr>
            <w:tcW w:w="809" w:type="dxa"/>
          </w:tcPr>
          <w:p w14:paraId="251C6BCD">
            <w:pPr>
              <w:jc w:val="center"/>
              <w:rPr>
                <w:sz w:val="18"/>
                <w:szCs w:val="18"/>
              </w:rPr>
            </w:pPr>
            <w:r>
              <w:rPr>
                <w:sz w:val="18"/>
                <w:szCs w:val="18"/>
              </w:rPr>
              <w:t>20</w:t>
            </w:r>
          </w:p>
        </w:tc>
        <w:tc>
          <w:tcPr>
            <w:tcW w:w="810" w:type="dxa"/>
          </w:tcPr>
          <w:p w14:paraId="4E604DA5">
            <w:pPr>
              <w:jc w:val="center"/>
              <w:rPr>
                <w:sz w:val="18"/>
                <w:szCs w:val="18"/>
              </w:rPr>
            </w:pPr>
            <w:r>
              <w:rPr>
                <w:sz w:val="18"/>
                <w:szCs w:val="18"/>
              </w:rPr>
              <w:t>21</w:t>
            </w:r>
          </w:p>
        </w:tc>
        <w:tc>
          <w:tcPr>
            <w:tcW w:w="810" w:type="dxa"/>
          </w:tcPr>
          <w:p w14:paraId="5F8F994B">
            <w:pPr>
              <w:jc w:val="center"/>
              <w:rPr>
                <w:sz w:val="18"/>
                <w:szCs w:val="18"/>
              </w:rPr>
            </w:pPr>
            <w:r>
              <w:rPr>
                <w:sz w:val="18"/>
                <w:szCs w:val="18"/>
              </w:rPr>
              <w:t>22</w:t>
            </w:r>
          </w:p>
        </w:tc>
        <w:tc>
          <w:tcPr>
            <w:tcW w:w="810" w:type="dxa"/>
          </w:tcPr>
          <w:p w14:paraId="22F8B0BC">
            <w:pPr>
              <w:jc w:val="center"/>
              <w:rPr>
                <w:sz w:val="18"/>
                <w:szCs w:val="18"/>
              </w:rPr>
            </w:pPr>
            <w:r>
              <w:rPr>
                <w:sz w:val="18"/>
                <w:szCs w:val="18"/>
              </w:rPr>
              <w:t>23</w:t>
            </w:r>
          </w:p>
        </w:tc>
        <w:tc>
          <w:tcPr>
            <w:tcW w:w="810" w:type="dxa"/>
          </w:tcPr>
          <w:p w14:paraId="39A0D1A6">
            <w:pPr>
              <w:jc w:val="center"/>
              <w:rPr>
                <w:sz w:val="18"/>
                <w:szCs w:val="18"/>
              </w:rPr>
            </w:pPr>
            <w:r>
              <w:rPr>
                <w:sz w:val="18"/>
                <w:szCs w:val="18"/>
              </w:rPr>
              <w:t>24</w:t>
            </w:r>
          </w:p>
        </w:tc>
        <w:tc>
          <w:tcPr>
            <w:tcW w:w="810" w:type="dxa"/>
          </w:tcPr>
          <w:p w14:paraId="69978D5E">
            <w:pPr>
              <w:jc w:val="center"/>
              <w:rPr>
                <w:sz w:val="18"/>
                <w:szCs w:val="18"/>
              </w:rPr>
            </w:pPr>
            <w:r>
              <w:rPr>
                <w:sz w:val="18"/>
                <w:szCs w:val="18"/>
              </w:rPr>
              <w:t>25</w:t>
            </w:r>
          </w:p>
        </w:tc>
        <w:tc>
          <w:tcPr>
            <w:tcW w:w="810" w:type="dxa"/>
          </w:tcPr>
          <w:p w14:paraId="76173499">
            <w:pPr>
              <w:jc w:val="center"/>
              <w:rPr>
                <w:sz w:val="18"/>
                <w:szCs w:val="18"/>
              </w:rPr>
            </w:pPr>
            <w:r>
              <w:rPr>
                <w:sz w:val="18"/>
                <w:szCs w:val="18"/>
              </w:rPr>
              <w:t>26</w:t>
            </w:r>
          </w:p>
        </w:tc>
        <w:tc>
          <w:tcPr>
            <w:tcW w:w="810" w:type="dxa"/>
          </w:tcPr>
          <w:p w14:paraId="7349CF89">
            <w:pPr>
              <w:jc w:val="center"/>
              <w:rPr>
                <w:sz w:val="18"/>
                <w:szCs w:val="18"/>
              </w:rPr>
            </w:pPr>
            <w:r>
              <w:rPr>
                <w:sz w:val="18"/>
                <w:szCs w:val="18"/>
              </w:rPr>
              <w:t>27</w:t>
            </w:r>
          </w:p>
        </w:tc>
        <w:tc>
          <w:tcPr>
            <w:tcW w:w="810" w:type="dxa"/>
          </w:tcPr>
          <w:p w14:paraId="71ABA1A5">
            <w:pPr>
              <w:jc w:val="center"/>
              <w:rPr>
                <w:sz w:val="18"/>
                <w:szCs w:val="18"/>
              </w:rPr>
            </w:pPr>
            <w:r>
              <w:rPr>
                <w:sz w:val="18"/>
                <w:szCs w:val="18"/>
              </w:rPr>
              <w:t>28</w:t>
            </w:r>
          </w:p>
        </w:tc>
        <w:tc>
          <w:tcPr>
            <w:tcW w:w="810" w:type="dxa"/>
          </w:tcPr>
          <w:p w14:paraId="60651FEA">
            <w:pPr>
              <w:jc w:val="center"/>
              <w:rPr>
                <w:sz w:val="18"/>
                <w:szCs w:val="18"/>
              </w:rPr>
            </w:pPr>
            <w:r>
              <w:rPr>
                <w:sz w:val="18"/>
                <w:szCs w:val="18"/>
              </w:rPr>
              <w:t>29</w:t>
            </w:r>
          </w:p>
        </w:tc>
        <w:tc>
          <w:tcPr>
            <w:tcW w:w="810" w:type="dxa"/>
          </w:tcPr>
          <w:p w14:paraId="22864048">
            <w:pPr>
              <w:jc w:val="center"/>
              <w:rPr>
                <w:sz w:val="18"/>
                <w:szCs w:val="18"/>
              </w:rPr>
            </w:pPr>
            <w:r>
              <w:rPr>
                <w:sz w:val="18"/>
                <w:szCs w:val="18"/>
              </w:rPr>
              <w:t>30</w:t>
            </w:r>
          </w:p>
        </w:tc>
      </w:tr>
      <w:tr w14:paraId="7961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6A98825B">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w:t>
            </w:r>
          </w:p>
        </w:tc>
        <w:tc>
          <w:tcPr>
            <w:tcW w:w="1373" w:type="dxa"/>
          </w:tcPr>
          <w:p w14:paraId="77CDBAB7">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生产成本</w:t>
            </w:r>
          </w:p>
        </w:tc>
        <w:tc>
          <w:tcPr>
            <w:tcW w:w="808" w:type="dxa"/>
          </w:tcPr>
          <w:p w14:paraId="2A8100A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08" w:type="dxa"/>
          </w:tcPr>
          <w:p w14:paraId="32020DF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09" w:type="dxa"/>
          </w:tcPr>
          <w:p w14:paraId="13DE584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09" w:type="dxa"/>
          </w:tcPr>
          <w:p w14:paraId="53EE7C2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09" w:type="dxa"/>
          </w:tcPr>
          <w:p w14:paraId="7F1ED45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5CC5E3F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2EC6DE5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1E4C42C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6EAB060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3213927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33E78BC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54E9CD8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287F4A8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365BE32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c>
          <w:tcPr>
            <w:tcW w:w="810" w:type="dxa"/>
          </w:tcPr>
          <w:p w14:paraId="7E25560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622.92</w:t>
            </w:r>
          </w:p>
        </w:tc>
      </w:tr>
      <w:tr w14:paraId="31C1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2A026D7D">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1.1</w:t>
            </w:r>
          </w:p>
        </w:tc>
        <w:tc>
          <w:tcPr>
            <w:tcW w:w="1373" w:type="dxa"/>
          </w:tcPr>
          <w:p w14:paraId="3A2F1D77">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分散设施运维费</w:t>
            </w:r>
          </w:p>
        </w:tc>
        <w:tc>
          <w:tcPr>
            <w:tcW w:w="808" w:type="dxa"/>
          </w:tcPr>
          <w:p w14:paraId="3C8A3BE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08" w:type="dxa"/>
          </w:tcPr>
          <w:p w14:paraId="1E28759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09" w:type="dxa"/>
          </w:tcPr>
          <w:p w14:paraId="1134F56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09" w:type="dxa"/>
          </w:tcPr>
          <w:p w14:paraId="37B85E4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09" w:type="dxa"/>
          </w:tcPr>
          <w:p w14:paraId="37063B3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051A69E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615D69E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57B3C7F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270AFF7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6BF621B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5C781B8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06C5172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52154E5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166A408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c>
          <w:tcPr>
            <w:tcW w:w="810" w:type="dxa"/>
          </w:tcPr>
          <w:p w14:paraId="053A89B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21.86</w:t>
            </w:r>
          </w:p>
        </w:tc>
      </w:tr>
      <w:tr w14:paraId="179F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6FD3A93C">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1.2</w:t>
            </w:r>
          </w:p>
        </w:tc>
        <w:tc>
          <w:tcPr>
            <w:tcW w:w="1373" w:type="dxa"/>
          </w:tcPr>
          <w:p w14:paraId="261052F7">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分散设施维修费</w:t>
            </w:r>
          </w:p>
        </w:tc>
        <w:tc>
          <w:tcPr>
            <w:tcW w:w="808" w:type="dxa"/>
          </w:tcPr>
          <w:p w14:paraId="5B4BA46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08" w:type="dxa"/>
          </w:tcPr>
          <w:p w14:paraId="7FEFA32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09" w:type="dxa"/>
          </w:tcPr>
          <w:p w14:paraId="2752891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09" w:type="dxa"/>
          </w:tcPr>
          <w:p w14:paraId="2462690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09" w:type="dxa"/>
          </w:tcPr>
          <w:p w14:paraId="6E63654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7630BEF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471BCF4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10EC52E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5536306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1AEBC54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61FAD5F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6EEEEA3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5E9B8A5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1016B6A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c>
          <w:tcPr>
            <w:tcW w:w="810" w:type="dxa"/>
          </w:tcPr>
          <w:p w14:paraId="5268C02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23.32</w:t>
            </w:r>
          </w:p>
        </w:tc>
      </w:tr>
      <w:tr w14:paraId="17F9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6A3DD184">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1.3</w:t>
            </w:r>
          </w:p>
        </w:tc>
        <w:tc>
          <w:tcPr>
            <w:tcW w:w="1373" w:type="dxa"/>
          </w:tcPr>
          <w:p w14:paraId="609B9695">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管网运维费</w:t>
            </w:r>
          </w:p>
        </w:tc>
        <w:tc>
          <w:tcPr>
            <w:tcW w:w="808" w:type="dxa"/>
          </w:tcPr>
          <w:p w14:paraId="4BECC5F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08" w:type="dxa"/>
          </w:tcPr>
          <w:p w14:paraId="55738DE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09" w:type="dxa"/>
          </w:tcPr>
          <w:p w14:paraId="4D1732A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09" w:type="dxa"/>
          </w:tcPr>
          <w:p w14:paraId="0DFF0DC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09" w:type="dxa"/>
          </w:tcPr>
          <w:p w14:paraId="0CC1693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72EDFA2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2EA1C91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0FAB351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361FA73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775FB5B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2DCBE0B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01778F4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62C0CB1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193B4C6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c>
          <w:tcPr>
            <w:tcW w:w="810" w:type="dxa"/>
          </w:tcPr>
          <w:p w14:paraId="12EFE39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41.08</w:t>
            </w:r>
          </w:p>
        </w:tc>
      </w:tr>
      <w:tr w14:paraId="4DF8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6A6E289A">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1.4</w:t>
            </w:r>
          </w:p>
        </w:tc>
        <w:tc>
          <w:tcPr>
            <w:tcW w:w="1373" w:type="dxa"/>
          </w:tcPr>
          <w:p w14:paraId="1F189615">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管网大中修费</w:t>
            </w:r>
          </w:p>
        </w:tc>
        <w:tc>
          <w:tcPr>
            <w:tcW w:w="808" w:type="dxa"/>
          </w:tcPr>
          <w:p w14:paraId="0D4259F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08" w:type="dxa"/>
          </w:tcPr>
          <w:p w14:paraId="4581B39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09" w:type="dxa"/>
          </w:tcPr>
          <w:p w14:paraId="1BD297E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09" w:type="dxa"/>
          </w:tcPr>
          <w:p w14:paraId="791AEED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09" w:type="dxa"/>
          </w:tcPr>
          <w:p w14:paraId="194940C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2A465B8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6831DF9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5C5CBC9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6CBBC0E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79E5164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64951F2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47D7ED6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41BBA65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56EA3A1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c>
          <w:tcPr>
            <w:tcW w:w="810" w:type="dxa"/>
          </w:tcPr>
          <w:p w14:paraId="72C36B4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104.05</w:t>
            </w:r>
          </w:p>
        </w:tc>
      </w:tr>
      <w:tr w14:paraId="0ABE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5134CF12">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1.5</w:t>
            </w:r>
          </w:p>
        </w:tc>
        <w:tc>
          <w:tcPr>
            <w:tcW w:w="1373" w:type="dxa"/>
          </w:tcPr>
          <w:p w14:paraId="71F8D5EE">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人工成本</w:t>
            </w:r>
          </w:p>
        </w:tc>
        <w:tc>
          <w:tcPr>
            <w:tcW w:w="808" w:type="dxa"/>
          </w:tcPr>
          <w:p w14:paraId="7233F6F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08" w:type="dxa"/>
          </w:tcPr>
          <w:p w14:paraId="4E96EE3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09" w:type="dxa"/>
          </w:tcPr>
          <w:p w14:paraId="0F3CED7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09" w:type="dxa"/>
          </w:tcPr>
          <w:p w14:paraId="2F6F17B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09" w:type="dxa"/>
          </w:tcPr>
          <w:p w14:paraId="53EDC2B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63549EC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405C3B7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2D632CA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50B4373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2CB7163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06DB2E2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2185FAD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2BF4C2D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67E305B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c>
          <w:tcPr>
            <w:tcW w:w="810" w:type="dxa"/>
          </w:tcPr>
          <w:p w14:paraId="0B605C3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51.44</w:t>
            </w:r>
          </w:p>
        </w:tc>
      </w:tr>
      <w:tr w14:paraId="2EEC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4084EC2C">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1.6</w:t>
            </w:r>
          </w:p>
        </w:tc>
        <w:tc>
          <w:tcPr>
            <w:tcW w:w="1373" w:type="dxa"/>
          </w:tcPr>
          <w:p w14:paraId="46652F66">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其他费</w:t>
            </w:r>
          </w:p>
        </w:tc>
        <w:tc>
          <w:tcPr>
            <w:tcW w:w="808" w:type="dxa"/>
          </w:tcPr>
          <w:p w14:paraId="32D8269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08" w:type="dxa"/>
          </w:tcPr>
          <w:p w14:paraId="294DFE3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09" w:type="dxa"/>
          </w:tcPr>
          <w:p w14:paraId="301F8CF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09" w:type="dxa"/>
          </w:tcPr>
          <w:p w14:paraId="457047B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09" w:type="dxa"/>
          </w:tcPr>
          <w:p w14:paraId="7F7BD26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4C42B51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362A3C4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0D56379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3FA0967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0EB94CE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75C8863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28D3058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4288534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02EFA3F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c>
          <w:tcPr>
            <w:tcW w:w="810" w:type="dxa"/>
          </w:tcPr>
          <w:p w14:paraId="3E71CDB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14.50</w:t>
            </w:r>
          </w:p>
        </w:tc>
      </w:tr>
      <w:tr w14:paraId="672E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495147F1">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2</w:t>
            </w:r>
          </w:p>
        </w:tc>
        <w:tc>
          <w:tcPr>
            <w:tcW w:w="1373" w:type="dxa"/>
          </w:tcPr>
          <w:p w14:paraId="4E41CAEE">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折旧摊销</w:t>
            </w:r>
          </w:p>
        </w:tc>
        <w:tc>
          <w:tcPr>
            <w:tcW w:w="808" w:type="dxa"/>
          </w:tcPr>
          <w:p w14:paraId="4D12F94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08" w:type="dxa"/>
          </w:tcPr>
          <w:p w14:paraId="6BF128E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09" w:type="dxa"/>
          </w:tcPr>
          <w:p w14:paraId="1DBBDEA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09" w:type="dxa"/>
          </w:tcPr>
          <w:p w14:paraId="4B5A268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09" w:type="dxa"/>
          </w:tcPr>
          <w:p w14:paraId="5C85E6A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17EEA96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39E59D4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38CE690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619F338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338814D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069527D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23256C5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6DBA49A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1EA7814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c>
          <w:tcPr>
            <w:tcW w:w="810" w:type="dxa"/>
          </w:tcPr>
          <w:p w14:paraId="1B1747E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366.67</w:t>
            </w:r>
          </w:p>
        </w:tc>
      </w:tr>
      <w:tr w14:paraId="52C1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14:paraId="712EE767">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3</w:t>
            </w:r>
          </w:p>
        </w:tc>
        <w:tc>
          <w:tcPr>
            <w:tcW w:w="1373" w:type="dxa"/>
          </w:tcPr>
          <w:p w14:paraId="2F703E13">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财务费用</w:t>
            </w:r>
          </w:p>
        </w:tc>
        <w:tc>
          <w:tcPr>
            <w:tcW w:w="808" w:type="dxa"/>
          </w:tcPr>
          <w:p w14:paraId="000A28D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198.23</w:t>
            </w:r>
          </w:p>
        </w:tc>
        <w:tc>
          <w:tcPr>
            <w:tcW w:w="808" w:type="dxa"/>
          </w:tcPr>
          <w:p w14:paraId="20CE3E1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188.04</w:t>
            </w:r>
          </w:p>
        </w:tc>
        <w:tc>
          <w:tcPr>
            <w:tcW w:w="809" w:type="dxa"/>
          </w:tcPr>
          <w:p w14:paraId="2331AF3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177.47</w:t>
            </w:r>
          </w:p>
        </w:tc>
        <w:tc>
          <w:tcPr>
            <w:tcW w:w="809" w:type="dxa"/>
          </w:tcPr>
          <w:p w14:paraId="441C69F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166.53</w:t>
            </w:r>
          </w:p>
        </w:tc>
        <w:tc>
          <w:tcPr>
            <w:tcW w:w="809" w:type="dxa"/>
          </w:tcPr>
          <w:p w14:paraId="1119E20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155.19</w:t>
            </w:r>
          </w:p>
        </w:tc>
        <w:tc>
          <w:tcPr>
            <w:tcW w:w="810" w:type="dxa"/>
          </w:tcPr>
          <w:p w14:paraId="2901E4D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143.44</w:t>
            </w:r>
          </w:p>
        </w:tc>
        <w:tc>
          <w:tcPr>
            <w:tcW w:w="810" w:type="dxa"/>
          </w:tcPr>
          <w:p w14:paraId="48B4D6F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131.27</w:t>
            </w:r>
          </w:p>
        </w:tc>
        <w:tc>
          <w:tcPr>
            <w:tcW w:w="810" w:type="dxa"/>
          </w:tcPr>
          <w:p w14:paraId="5CA7607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118.66</w:t>
            </w:r>
          </w:p>
        </w:tc>
        <w:tc>
          <w:tcPr>
            <w:tcW w:w="810" w:type="dxa"/>
          </w:tcPr>
          <w:p w14:paraId="1C2C07C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105.60</w:t>
            </w:r>
          </w:p>
        </w:tc>
        <w:tc>
          <w:tcPr>
            <w:tcW w:w="810" w:type="dxa"/>
          </w:tcPr>
          <w:p w14:paraId="603220C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92.06</w:t>
            </w:r>
          </w:p>
        </w:tc>
        <w:tc>
          <w:tcPr>
            <w:tcW w:w="810" w:type="dxa"/>
          </w:tcPr>
          <w:p w14:paraId="7E20257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78.04</w:t>
            </w:r>
          </w:p>
        </w:tc>
        <w:tc>
          <w:tcPr>
            <w:tcW w:w="810" w:type="dxa"/>
          </w:tcPr>
          <w:p w14:paraId="324A48C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63.52</w:t>
            </w:r>
          </w:p>
        </w:tc>
        <w:tc>
          <w:tcPr>
            <w:tcW w:w="810" w:type="dxa"/>
          </w:tcPr>
          <w:p w14:paraId="66D5FE2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48.47</w:t>
            </w:r>
          </w:p>
        </w:tc>
        <w:tc>
          <w:tcPr>
            <w:tcW w:w="810" w:type="dxa"/>
          </w:tcPr>
          <w:p w14:paraId="3A835F6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32.88</w:t>
            </w:r>
          </w:p>
        </w:tc>
        <w:tc>
          <w:tcPr>
            <w:tcW w:w="810" w:type="dxa"/>
          </w:tcPr>
          <w:p w14:paraId="5CEEDDD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16.73</w:t>
            </w:r>
          </w:p>
        </w:tc>
      </w:tr>
      <w:tr w14:paraId="19E5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gridSpan w:val="2"/>
          </w:tcPr>
          <w:p w14:paraId="57EE769A">
            <w:pPr>
              <w:rPr>
                <w:sz w:val="18"/>
                <w:szCs w:val="18"/>
              </w:rPr>
            </w:pPr>
            <w:r>
              <w:rPr>
                <w:rFonts w:hint="eastAsia"/>
                <w:sz w:val="18"/>
                <w:szCs w:val="18"/>
              </w:rPr>
              <w:t>总成本</w:t>
            </w:r>
          </w:p>
        </w:tc>
        <w:tc>
          <w:tcPr>
            <w:tcW w:w="808" w:type="dxa"/>
          </w:tcPr>
          <w:p w14:paraId="7248E3AF">
            <w:pPr>
              <w:rPr>
                <w:sz w:val="18"/>
                <w:szCs w:val="18"/>
              </w:rPr>
            </w:pPr>
            <w:r>
              <w:rPr>
                <w:sz w:val="18"/>
                <w:szCs w:val="18"/>
              </w:rPr>
              <w:t>821.15</w:t>
            </w:r>
          </w:p>
        </w:tc>
        <w:tc>
          <w:tcPr>
            <w:tcW w:w="808" w:type="dxa"/>
          </w:tcPr>
          <w:p w14:paraId="7153A66F">
            <w:pPr>
              <w:rPr>
                <w:sz w:val="18"/>
                <w:szCs w:val="18"/>
              </w:rPr>
            </w:pPr>
            <w:r>
              <w:rPr>
                <w:sz w:val="18"/>
                <w:szCs w:val="18"/>
              </w:rPr>
              <w:t>810.95</w:t>
            </w:r>
          </w:p>
        </w:tc>
        <w:tc>
          <w:tcPr>
            <w:tcW w:w="809" w:type="dxa"/>
          </w:tcPr>
          <w:p w14:paraId="3124E5E3">
            <w:pPr>
              <w:rPr>
                <w:sz w:val="18"/>
                <w:szCs w:val="18"/>
              </w:rPr>
            </w:pPr>
            <w:r>
              <w:rPr>
                <w:sz w:val="18"/>
                <w:szCs w:val="18"/>
              </w:rPr>
              <w:t>800.39</w:t>
            </w:r>
          </w:p>
        </w:tc>
        <w:tc>
          <w:tcPr>
            <w:tcW w:w="809" w:type="dxa"/>
          </w:tcPr>
          <w:p w14:paraId="6F940F27">
            <w:pPr>
              <w:rPr>
                <w:sz w:val="18"/>
                <w:szCs w:val="18"/>
              </w:rPr>
            </w:pPr>
            <w:r>
              <w:rPr>
                <w:sz w:val="18"/>
                <w:szCs w:val="18"/>
              </w:rPr>
              <w:t>789.44</w:t>
            </w:r>
          </w:p>
        </w:tc>
        <w:tc>
          <w:tcPr>
            <w:tcW w:w="809" w:type="dxa"/>
          </w:tcPr>
          <w:p w14:paraId="1E163545">
            <w:pPr>
              <w:rPr>
                <w:sz w:val="18"/>
                <w:szCs w:val="18"/>
              </w:rPr>
            </w:pPr>
            <w:r>
              <w:rPr>
                <w:sz w:val="18"/>
                <w:szCs w:val="18"/>
              </w:rPr>
              <w:t>778.10</w:t>
            </w:r>
          </w:p>
        </w:tc>
        <w:tc>
          <w:tcPr>
            <w:tcW w:w="810" w:type="dxa"/>
          </w:tcPr>
          <w:p w14:paraId="55065355">
            <w:pPr>
              <w:rPr>
                <w:sz w:val="18"/>
                <w:szCs w:val="18"/>
              </w:rPr>
            </w:pPr>
            <w:r>
              <w:rPr>
                <w:sz w:val="18"/>
                <w:szCs w:val="18"/>
              </w:rPr>
              <w:t>766.36</w:t>
            </w:r>
          </w:p>
        </w:tc>
        <w:tc>
          <w:tcPr>
            <w:tcW w:w="810" w:type="dxa"/>
          </w:tcPr>
          <w:p w14:paraId="6EB7D7B7">
            <w:pPr>
              <w:rPr>
                <w:sz w:val="18"/>
                <w:szCs w:val="18"/>
              </w:rPr>
            </w:pPr>
            <w:r>
              <w:rPr>
                <w:sz w:val="18"/>
                <w:szCs w:val="18"/>
              </w:rPr>
              <w:t>754.19</w:t>
            </w:r>
          </w:p>
        </w:tc>
        <w:tc>
          <w:tcPr>
            <w:tcW w:w="810" w:type="dxa"/>
          </w:tcPr>
          <w:p w14:paraId="1DDB80A4">
            <w:pPr>
              <w:rPr>
                <w:sz w:val="18"/>
                <w:szCs w:val="18"/>
              </w:rPr>
            </w:pPr>
            <w:r>
              <w:rPr>
                <w:sz w:val="18"/>
                <w:szCs w:val="18"/>
              </w:rPr>
              <w:t>741.58</w:t>
            </w:r>
          </w:p>
        </w:tc>
        <w:tc>
          <w:tcPr>
            <w:tcW w:w="810" w:type="dxa"/>
          </w:tcPr>
          <w:p w14:paraId="08E2E27B">
            <w:pPr>
              <w:rPr>
                <w:sz w:val="18"/>
                <w:szCs w:val="18"/>
              </w:rPr>
            </w:pPr>
            <w:r>
              <w:rPr>
                <w:sz w:val="18"/>
                <w:szCs w:val="18"/>
              </w:rPr>
              <w:t>728.51</w:t>
            </w:r>
          </w:p>
        </w:tc>
        <w:tc>
          <w:tcPr>
            <w:tcW w:w="810" w:type="dxa"/>
          </w:tcPr>
          <w:p w14:paraId="0317466E">
            <w:pPr>
              <w:rPr>
                <w:sz w:val="18"/>
                <w:szCs w:val="18"/>
              </w:rPr>
            </w:pPr>
            <w:r>
              <w:rPr>
                <w:sz w:val="18"/>
                <w:szCs w:val="18"/>
              </w:rPr>
              <w:t>714.98</w:t>
            </w:r>
          </w:p>
        </w:tc>
        <w:tc>
          <w:tcPr>
            <w:tcW w:w="810" w:type="dxa"/>
          </w:tcPr>
          <w:p w14:paraId="2EF590DA">
            <w:pPr>
              <w:rPr>
                <w:sz w:val="18"/>
                <w:szCs w:val="18"/>
              </w:rPr>
            </w:pPr>
            <w:r>
              <w:rPr>
                <w:sz w:val="18"/>
                <w:szCs w:val="18"/>
              </w:rPr>
              <w:t>700.96</w:t>
            </w:r>
          </w:p>
        </w:tc>
        <w:tc>
          <w:tcPr>
            <w:tcW w:w="810" w:type="dxa"/>
          </w:tcPr>
          <w:p w14:paraId="1DC2B917">
            <w:pPr>
              <w:rPr>
                <w:sz w:val="18"/>
                <w:szCs w:val="18"/>
              </w:rPr>
            </w:pPr>
            <w:r>
              <w:rPr>
                <w:sz w:val="18"/>
                <w:szCs w:val="18"/>
              </w:rPr>
              <w:t>686.44</w:t>
            </w:r>
          </w:p>
        </w:tc>
        <w:tc>
          <w:tcPr>
            <w:tcW w:w="810" w:type="dxa"/>
          </w:tcPr>
          <w:p w14:paraId="5243732F">
            <w:pPr>
              <w:rPr>
                <w:sz w:val="18"/>
                <w:szCs w:val="18"/>
              </w:rPr>
            </w:pPr>
            <w:r>
              <w:rPr>
                <w:sz w:val="18"/>
                <w:szCs w:val="18"/>
              </w:rPr>
              <w:t>671.39</w:t>
            </w:r>
          </w:p>
        </w:tc>
        <w:tc>
          <w:tcPr>
            <w:tcW w:w="810" w:type="dxa"/>
          </w:tcPr>
          <w:p w14:paraId="00A6A506">
            <w:pPr>
              <w:rPr>
                <w:sz w:val="18"/>
                <w:szCs w:val="18"/>
              </w:rPr>
            </w:pPr>
            <w:r>
              <w:rPr>
                <w:sz w:val="18"/>
                <w:szCs w:val="18"/>
              </w:rPr>
              <w:t>655.80</w:t>
            </w:r>
          </w:p>
        </w:tc>
        <w:tc>
          <w:tcPr>
            <w:tcW w:w="810" w:type="dxa"/>
          </w:tcPr>
          <w:p w14:paraId="14158D95">
            <w:pPr>
              <w:rPr>
                <w:sz w:val="18"/>
                <w:szCs w:val="18"/>
              </w:rPr>
            </w:pPr>
            <w:r>
              <w:rPr>
                <w:sz w:val="18"/>
                <w:szCs w:val="18"/>
              </w:rPr>
              <w:t>639.65</w:t>
            </w:r>
          </w:p>
        </w:tc>
      </w:tr>
    </w:tbl>
    <w:p w14:paraId="28D14C66">
      <w:pPr>
        <w:pStyle w:val="2"/>
      </w:pPr>
    </w:p>
    <w:p w14:paraId="5F8F68C8">
      <w:pPr>
        <w:pStyle w:val="5"/>
      </w:pPr>
      <w:r>
        <w:rPr>
          <w:rFonts w:hint="eastAsia"/>
        </w:rPr>
        <w:t>2、借款还款计划表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25"/>
        <w:gridCol w:w="854"/>
        <w:gridCol w:w="854"/>
        <w:gridCol w:w="854"/>
        <w:gridCol w:w="854"/>
        <w:gridCol w:w="854"/>
        <w:gridCol w:w="854"/>
        <w:gridCol w:w="854"/>
        <w:gridCol w:w="854"/>
        <w:gridCol w:w="854"/>
        <w:gridCol w:w="854"/>
        <w:gridCol w:w="854"/>
        <w:gridCol w:w="854"/>
        <w:gridCol w:w="854"/>
        <w:gridCol w:w="854"/>
        <w:gridCol w:w="854"/>
      </w:tblGrid>
      <w:tr w14:paraId="6D38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14:paraId="75B24C84">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 xml:space="preserve">序号 </w:t>
            </w:r>
          </w:p>
        </w:tc>
        <w:tc>
          <w:tcPr>
            <w:tcW w:w="825" w:type="dxa"/>
            <w:vAlign w:val="center"/>
          </w:tcPr>
          <w:p w14:paraId="542E6B1F">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运营年</w:t>
            </w:r>
          </w:p>
        </w:tc>
        <w:tc>
          <w:tcPr>
            <w:tcW w:w="854" w:type="dxa"/>
          </w:tcPr>
          <w:p w14:paraId="13D0782E">
            <w:pPr>
              <w:jc w:val="center"/>
              <w:rPr>
                <w:sz w:val="18"/>
                <w:szCs w:val="18"/>
              </w:rPr>
            </w:pPr>
            <w:r>
              <w:rPr>
                <w:sz w:val="18"/>
                <w:szCs w:val="18"/>
              </w:rPr>
              <w:t>1</w:t>
            </w:r>
          </w:p>
        </w:tc>
        <w:tc>
          <w:tcPr>
            <w:tcW w:w="854" w:type="dxa"/>
          </w:tcPr>
          <w:p w14:paraId="3F9F301D">
            <w:pPr>
              <w:jc w:val="center"/>
              <w:rPr>
                <w:sz w:val="18"/>
                <w:szCs w:val="18"/>
              </w:rPr>
            </w:pPr>
            <w:r>
              <w:rPr>
                <w:sz w:val="18"/>
                <w:szCs w:val="18"/>
              </w:rPr>
              <w:t>2</w:t>
            </w:r>
          </w:p>
        </w:tc>
        <w:tc>
          <w:tcPr>
            <w:tcW w:w="854" w:type="dxa"/>
          </w:tcPr>
          <w:p w14:paraId="5905933D">
            <w:pPr>
              <w:jc w:val="center"/>
              <w:rPr>
                <w:sz w:val="18"/>
                <w:szCs w:val="18"/>
              </w:rPr>
            </w:pPr>
            <w:r>
              <w:rPr>
                <w:sz w:val="18"/>
                <w:szCs w:val="18"/>
              </w:rPr>
              <w:t>3</w:t>
            </w:r>
          </w:p>
        </w:tc>
        <w:tc>
          <w:tcPr>
            <w:tcW w:w="854" w:type="dxa"/>
          </w:tcPr>
          <w:p w14:paraId="45EE68AC">
            <w:pPr>
              <w:jc w:val="center"/>
              <w:rPr>
                <w:sz w:val="18"/>
                <w:szCs w:val="18"/>
              </w:rPr>
            </w:pPr>
            <w:r>
              <w:rPr>
                <w:sz w:val="18"/>
                <w:szCs w:val="18"/>
              </w:rPr>
              <w:t>4</w:t>
            </w:r>
          </w:p>
        </w:tc>
        <w:tc>
          <w:tcPr>
            <w:tcW w:w="854" w:type="dxa"/>
          </w:tcPr>
          <w:p w14:paraId="66325C55">
            <w:pPr>
              <w:jc w:val="center"/>
              <w:rPr>
                <w:sz w:val="18"/>
                <w:szCs w:val="18"/>
              </w:rPr>
            </w:pPr>
            <w:r>
              <w:rPr>
                <w:sz w:val="18"/>
                <w:szCs w:val="18"/>
              </w:rPr>
              <w:t>5</w:t>
            </w:r>
          </w:p>
        </w:tc>
        <w:tc>
          <w:tcPr>
            <w:tcW w:w="854" w:type="dxa"/>
          </w:tcPr>
          <w:p w14:paraId="350D1E84">
            <w:pPr>
              <w:jc w:val="center"/>
              <w:rPr>
                <w:sz w:val="18"/>
                <w:szCs w:val="18"/>
              </w:rPr>
            </w:pPr>
            <w:r>
              <w:rPr>
                <w:sz w:val="18"/>
                <w:szCs w:val="18"/>
              </w:rPr>
              <w:t>6</w:t>
            </w:r>
          </w:p>
        </w:tc>
        <w:tc>
          <w:tcPr>
            <w:tcW w:w="854" w:type="dxa"/>
          </w:tcPr>
          <w:p w14:paraId="53588E89">
            <w:pPr>
              <w:jc w:val="center"/>
              <w:rPr>
                <w:sz w:val="18"/>
                <w:szCs w:val="18"/>
              </w:rPr>
            </w:pPr>
            <w:r>
              <w:rPr>
                <w:sz w:val="18"/>
                <w:szCs w:val="18"/>
              </w:rPr>
              <w:t>7</w:t>
            </w:r>
          </w:p>
        </w:tc>
        <w:tc>
          <w:tcPr>
            <w:tcW w:w="854" w:type="dxa"/>
          </w:tcPr>
          <w:p w14:paraId="0760FCC8">
            <w:pPr>
              <w:jc w:val="center"/>
              <w:rPr>
                <w:sz w:val="18"/>
                <w:szCs w:val="18"/>
              </w:rPr>
            </w:pPr>
            <w:r>
              <w:rPr>
                <w:sz w:val="18"/>
                <w:szCs w:val="18"/>
              </w:rPr>
              <w:t>8</w:t>
            </w:r>
          </w:p>
        </w:tc>
        <w:tc>
          <w:tcPr>
            <w:tcW w:w="854" w:type="dxa"/>
          </w:tcPr>
          <w:p w14:paraId="2ECE446C">
            <w:pPr>
              <w:jc w:val="center"/>
              <w:rPr>
                <w:sz w:val="18"/>
                <w:szCs w:val="18"/>
              </w:rPr>
            </w:pPr>
            <w:r>
              <w:rPr>
                <w:sz w:val="18"/>
                <w:szCs w:val="18"/>
              </w:rPr>
              <w:t>9</w:t>
            </w:r>
          </w:p>
        </w:tc>
        <w:tc>
          <w:tcPr>
            <w:tcW w:w="854" w:type="dxa"/>
          </w:tcPr>
          <w:p w14:paraId="3A23ACD1">
            <w:pPr>
              <w:jc w:val="center"/>
              <w:rPr>
                <w:sz w:val="18"/>
                <w:szCs w:val="18"/>
              </w:rPr>
            </w:pPr>
            <w:r>
              <w:rPr>
                <w:sz w:val="18"/>
                <w:szCs w:val="18"/>
              </w:rPr>
              <w:t>10</w:t>
            </w:r>
          </w:p>
        </w:tc>
        <w:tc>
          <w:tcPr>
            <w:tcW w:w="854" w:type="dxa"/>
          </w:tcPr>
          <w:p w14:paraId="05A98FA4">
            <w:pPr>
              <w:jc w:val="center"/>
              <w:rPr>
                <w:sz w:val="18"/>
                <w:szCs w:val="18"/>
              </w:rPr>
            </w:pPr>
            <w:r>
              <w:rPr>
                <w:sz w:val="18"/>
                <w:szCs w:val="18"/>
              </w:rPr>
              <w:t>11</w:t>
            </w:r>
          </w:p>
        </w:tc>
        <w:tc>
          <w:tcPr>
            <w:tcW w:w="854" w:type="dxa"/>
          </w:tcPr>
          <w:p w14:paraId="54F84584">
            <w:pPr>
              <w:jc w:val="center"/>
              <w:rPr>
                <w:sz w:val="18"/>
                <w:szCs w:val="18"/>
              </w:rPr>
            </w:pPr>
            <w:r>
              <w:rPr>
                <w:sz w:val="18"/>
                <w:szCs w:val="18"/>
              </w:rPr>
              <w:t>12</w:t>
            </w:r>
          </w:p>
        </w:tc>
        <w:tc>
          <w:tcPr>
            <w:tcW w:w="854" w:type="dxa"/>
          </w:tcPr>
          <w:p w14:paraId="538FC8F8">
            <w:pPr>
              <w:jc w:val="center"/>
              <w:rPr>
                <w:sz w:val="18"/>
                <w:szCs w:val="18"/>
              </w:rPr>
            </w:pPr>
            <w:r>
              <w:rPr>
                <w:sz w:val="18"/>
                <w:szCs w:val="18"/>
              </w:rPr>
              <w:t>13</w:t>
            </w:r>
          </w:p>
        </w:tc>
        <w:tc>
          <w:tcPr>
            <w:tcW w:w="854" w:type="dxa"/>
          </w:tcPr>
          <w:p w14:paraId="4E1DC123">
            <w:pPr>
              <w:jc w:val="center"/>
              <w:rPr>
                <w:sz w:val="18"/>
                <w:szCs w:val="18"/>
              </w:rPr>
            </w:pPr>
            <w:r>
              <w:rPr>
                <w:sz w:val="18"/>
                <w:szCs w:val="18"/>
              </w:rPr>
              <w:t>14</w:t>
            </w:r>
          </w:p>
        </w:tc>
        <w:tc>
          <w:tcPr>
            <w:tcW w:w="854" w:type="dxa"/>
          </w:tcPr>
          <w:p w14:paraId="66873CE5">
            <w:pPr>
              <w:jc w:val="center"/>
              <w:rPr>
                <w:sz w:val="18"/>
                <w:szCs w:val="18"/>
              </w:rPr>
            </w:pPr>
            <w:r>
              <w:rPr>
                <w:sz w:val="18"/>
                <w:szCs w:val="18"/>
              </w:rPr>
              <w:t>15</w:t>
            </w:r>
          </w:p>
        </w:tc>
      </w:tr>
      <w:tr w14:paraId="21DD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14:paraId="1A6DF8A7">
            <w:pPr>
              <w:rPr>
                <w:sz w:val="18"/>
                <w:szCs w:val="18"/>
              </w:rPr>
            </w:pPr>
            <w:r>
              <w:rPr>
                <w:rFonts w:hint="eastAsia"/>
                <w:sz w:val="18"/>
                <w:szCs w:val="18"/>
              </w:rPr>
              <w:t>1</w:t>
            </w:r>
          </w:p>
        </w:tc>
        <w:tc>
          <w:tcPr>
            <w:tcW w:w="825" w:type="dxa"/>
            <w:vAlign w:val="center"/>
          </w:tcPr>
          <w:p w14:paraId="07E8EB53">
            <w:pPr>
              <w:rPr>
                <w:sz w:val="18"/>
                <w:szCs w:val="18"/>
              </w:rPr>
            </w:pPr>
            <w:r>
              <w:rPr>
                <w:rFonts w:hint="eastAsia"/>
                <w:sz w:val="18"/>
                <w:szCs w:val="18"/>
              </w:rPr>
              <w:t>期初借款余额</w:t>
            </w:r>
          </w:p>
        </w:tc>
        <w:tc>
          <w:tcPr>
            <w:tcW w:w="854" w:type="dxa"/>
          </w:tcPr>
          <w:p w14:paraId="0D987BA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8,746.00 </w:t>
            </w:r>
          </w:p>
        </w:tc>
        <w:tc>
          <w:tcPr>
            <w:tcW w:w="854" w:type="dxa"/>
          </w:tcPr>
          <w:p w14:paraId="2DCCD83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8,579.35 </w:t>
            </w:r>
          </w:p>
        </w:tc>
        <w:tc>
          <w:tcPr>
            <w:tcW w:w="854" w:type="dxa"/>
          </w:tcPr>
          <w:p w14:paraId="268E827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8,406.70 </w:t>
            </w:r>
          </w:p>
        </w:tc>
        <w:tc>
          <w:tcPr>
            <w:tcW w:w="854" w:type="dxa"/>
          </w:tcPr>
          <w:p w14:paraId="442F6DE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8,227.83 </w:t>
            </w:r>
          </w:p>
        </w:tc>
        <w:tc>
          <w:tcPr>
            <w:tcW w:w="854" w:type="dxa"/>
          </w:tcPr>
          <w:p w14:paraId="6A977DD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8,042.52 </w:t>
            </w:r>
          </w:p>
        </w:tc>
        <w:tc>
          <w:tcPr>
            <w:tcW w:w="854" w:type="dxa"/>
          </w:tcPr>
          <w:p w14:paraId="50C2D1C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7,850.55 </w:t>
            </w:r>
          </w:p>
        </w:tc>
        <w:tc>
          <w:tcPr>
            <w:tcW w:w="854" w:type="dxa"/>
          </w:tcPr>
          <w:p w14:paraId="5CF5CB9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7,651.66 </w:t>
            </w:r>
          </w:p>
        </w:tc>
        <w:tc>
          <w:tcPr>
            <w:tcW w:w="854" w:type="dxa"/>
          </w:tcPr>
          <w:p w14:paraId="5C90C1C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7,445.61 </w:t>
            </w:r>
          </w:p>
        </w:tc>
        <w:tc>
          <w:tcPr>
            <w:tcW w:w="854" w:type="dxa"/>
          </w:tcPr>
          <w:p w14:paraId="3866487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7,232.14 </w:t>
            </w:r>
          </w:p>
        </w:tc>
        <w:tc>
          <w:tcPr>
            <w:tcW w:w="854" w:type="dxa"/>
          </w:tcPr>
          <w:p w14:paraId="46F76D1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7,010.99 </w:t>
            </w:r>
          </w:p>
        </w:tc>
        <w:tc>
          <w:tcPr>
            <w:tcW w:w="854" w:type="dxa"/>
          </w:tcPr>
          <w:p w14:paraId="1D205C4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6,781.88 </w:t>
            </w:r>
          </w:p>
        </w:tc>
        <w:tc>
          <w:tcPr>
            <w:tcW w:w="854" w:type="dxa"/>
          </w:tcPr>
          <w:p w14:paraId="7D81CD1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6,544.52 </w:t>
            </w:r>
          </w:p>
        </w:tc>
        <w:tc>
          <w:tcPr>
            <w:tcW w:w="854" w:type="dxa"/>
          </w:tcPr>
          <w:p w14:paraId="77A6B4E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6,298.61 </w:t>
            </w:r>
          </w:p>
        </w:tc>
        <w:tc>
          <w:tcPr>
            <w:tcW w:w="854" w:type="dxa"/>
          </w:tcPr>
          <w:p w14:paraId="5176634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6,043.85 </w:t>
            </w:r>
          </w:p>
        </w:tc>
        <w:tc>
          <w:tcPr>
            <w:tcW w:w="854" w:type="dxa"/>
          </w:tcPr>
          <w:p w14:paraId="45CB432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5,779.92 </w:t>
            </w:r>
          </w:p>
        </w:tc>
      </w:tr>
      <w:tr w14:paraId="0691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14:paraId="3903BA3B">
            <w:pPr>
              <w:rPr>
                <w:sz w:val="18"/>
                <w:szCs w:val="18"/>
              </w:rPr>
            </w:pPr>
            <w:r>
              <w:rPr>
                <w:rFonts w:hint="eastAsia"/>
                <w:sz w:val="18"/>
                <w:szCs w:val="18"/>
              </w:rPr>
              <w:t>2</w:t>
            </w:r>
          </w:p>
        </w:tc>
        <w:tc>
          <w:tcPr>
            <w:tcW w:w="825" w:type="dxa"/>
            <w:vAlign w:val="center"/>
          </w:tcPr>
          <w:p w14:paraId="5F0C4CF0">
            <w:pPr>
              <w:rPr>
                <w:sz w:val="18"/>
                <w:szCs w:val="18"/>
              </w:rPr>
            </w:pPr>
            <w:r>
              <w:rPr>
                <w:rFonts w:hint="eastAsia"/>
                <w:sz w:val="18"/>
                <w:szCs w:val="18"/>
              </w:rPr>
              <w:t>当期新增借款</w:t>
            </w:r>
          </w:p>
        </w:tc>
        <w:tc>
          <w:tcPr>
            <w:tcW w:w="854" w:type="dxa"/>
          </w:tcPr>
          <w:p w14:paraId="75F0756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   </w:t>
            </w:r>
          </w:p>
        </w:tc>
        <w:tc>
          <w:tcPr>
            <w:tcW w:w="854" w:type="dxa"/>
          </w:tcPr>
          <w:p w14:paraId="24D568BB">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2A1FA647">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1B3AAB31">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34C62F86">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3219EE6A">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27DC1DF8">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4276752E">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557A477E">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4F15882F">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081663FF">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5E06D6D9">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476D18ED">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3F620A9F">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2F3E5D64">
            <w:pPr>
              <w:rPr>
                <w:rFonts w:ascii="Times New Roman Regular" w:hAnsi="Times New Roman Regular" w:cs="Times New Roman Regular"/>
                <w:color w:val="000000" w:themeColor="text1"/>
                <w:sz w:val="18"/>
                <w:szCs w:val="18"/>
                <w14:textFill>
                  <w14:solidFill>
                    <w14:schemeClr w14:val="tx1"/>
                  </w14:solidFill>
                </w14:textFill>
              </w:rPr>
            </w:pPr>
          </w:p>
        </w:tc>
      </w:tr>
      <w:tr w14:paraId="319B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14:paraId="1707DAAC">
            <w:pPr>
              <w:rPr>
                <w:sz w:val="18"/>
                <w:szCs w:val="18"/>
              </w:rPr>
            </w:pPr>
            <w:r>
              <w:rPr>
                <w:rFonts w:hint="eastAsia"/>
                <w:sz w:val="18"/>
                <w:szCs w:val="18"/>
              </w:rPr>
              <w:t>3</w:t>
            </w:r>
          </w:p>
        </w:tc>
        <w:tc>
          <w:tcPr>
            <w:tcW w:w="825" w:type="dxa"/>
            <w:vAlign w:val="center"/>
          </w:tcPr>
          <w:p w14:paraId="235CBEEB">
            <w:pPr>
              <w:rPr>
                <w:sz w:val="18"/>
                <w:szCs w:val="18"/>
              </w:rPr>
            </w:pPr>
            <w:r>
              <w:rPr>
                <w:rFonts w:hint="eastAsia"/>
                <w:sz w:val="18"/>
                <w:szCs w:val="18"/>
              </w:rPr>
              <w:t>当期还本付息</w:t>
            </w:r>
          </w:p>
        </w:tc>
        <w:tc>
          <w:tcPr>
            <w:tcW w:w="854" w:type="dxa"/>
          </w:tcPr>
          <w:p w14:paraId="38150D5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1AACD55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73820AB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5EE184E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0CB3EF1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6DE79A5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6919182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02BF951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0AC64FF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74F5B52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1134946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292CD60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381AC7D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767271E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1F87A39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r>
      <w:tr w14:paraId="32DA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14:paraId="4842C97E">
            <w:pPr>
              <w:rPr>
                <w:sz w:val="18"/>
                <w:szCs w:val="18"/>
              </w:rPr>
            </w:pPr>
            <w:r>
              <w:rPr>
                <w:rFonts w:hint="eastAsia"/>
                <w:sz w:val="18"/>
                <w:szCs w:val="18"/>
              </w:rPr>
              <w:t>3.1</w:t>
            </w:r>
          </w:p>
        </w:tc>
        <w:tc>
          <w:tcPr>
            <w:tcW w:w="825" w:type="dxa"/>
            <w:vAlign w:val="center"/>
          </w:tcPr>
          <w:p w14:paraId="4538C5DC">
            <w:pPr>
              <w:rPr>
                <w:sz w:val="18"/>
                <w:szCs w:val="18"/>
              </w:rPr>
            </w:pPr>
            <w:r>
              <w:rPr>
                <w:rFonts w:hint="eastAsia"/>
                <w:sz w:val="18"/>
                <w:szCs w:val="18"/>
              </w:rPr>
              <w:t>偿还本金</w:t>
            </w:r>
          </w:p>
        </w:tc>
        <w:tc>
          <w:tcPr>
            <w:tcW w:w="854" w:type="dxa"/>
          </w:tcPr>
          <w:p w14:paraId="2E0B4FA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166.65 </w:t>
            </w:r>
          </w:p>
        </w:tc>
        <w:tc>
          <w:tcPr>
            <w:tcW w:w="854" w:type="dxa"/>
          </w:tcPr>
          <w:p w14:paraId="02FBA57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172.65 </w:t>
            </w:r>
          </w:p>
        </w:tc>
        <w:tc>
          <w:tcPr>
            <w:tcW w:w="854" w:type="dxa"/>
          </w:tcPr>
          <w:p w14:paraId="0B0894D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178.87 </w:t>
            </w:r>
          </w:p>
        </w:tc>
        <w:tc>
          <w:tcPr>
            <w:tcW w:w="854" w:type="dxa"/>
          </w:tcPr>
          <w:p w14:paraId="63439DB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185.31 </w:t>
            </w:r>
          </w:p>
        </w:tc>
        <w:tc>
          <w:tcPr>
            <w:tcW w:w="854" w:type="dxa"/>
          </w:tcPr>
          <w:p w14:paraId="3405F4C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191.98 </w:t>
            </w:r>
          </w:p>
        </w:tc>
        <w:tc>
          <w:tcPr>
            <w:tcW w:w="854" w:type="dxa"/>
          </w:tcPr>
          <w:p w14:paraId="638D0EA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198.89 </w:t>
            </w:r>
          </w:p>
        </w:tc>
        <w:tc>
          <w:tcPr>
            <w:tcW w:w="854" w:type="dxa"/>
          </w:tcPr>
          <w:p w14:paraId="3578D12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206.05 </w:t>
            </w:r>
          </w:p>
        </w:tc>
        <w:tc>
          <w:tcPr>
            <w:tcW w:w="854" w:type="dxa"/>
          </w:tcPr>
          <w:p w14:paraId="76FC718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213.47 </w:t>
            </w:r>
          </w:p>
        </w:tc>
        <w:tc>
          <w:tcPr>
            <w:tcW w:w="854" w:type="dxa"/>
          </w:tcPr>
          <w:p w14:paraId="4D9C0FE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221.15 </w:t>
            </w:r>
          </w:p>
        </w:tc>
        <w:tc>
          <w:tcPr>
            <w:tcW w:w="854" w:type="dxa"/>
          </w:tcPr>
          <w:p w14:paraId="771ACBE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229.11 </w:t>
            </w:r>
          </w:p>
        </w:tc>
        <w:tc>
          <w:tcPr>
            <w:tcW w:w="854" w:type="dxa"/>
          </w:tcPr>
          <w:p w14:paraId="5A0C9B6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237.36 </w:t>
            </w:r>
          </w:p>
        </w:tc>
        <w:tc>
          <w:tcPr>
            <w:tcW w:w="854" w:type="dxa"/>
          </w:tcPr>
          <w:p w14:paraId="30B3AE6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245.91 </w:t>
            </w:r>
          </w:p>
        </w:tc>
        <w:tc>
          <w:tcPr>
            <w:tcW w:w="854" w:type="dxa"/>
          </w:tcPr>
          <w:p w14:paraId="78360D9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254.76 </w:t>
            </w:r>
          </w:p>
        </w:tc>
        <w:tc>
          <w:tcPr>
            <w:tcW w:w="854" w:type="dxa"/>
          </w:tcPr>
          <w:p w14:paraId="4CB43CD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263.93 </w:t>
            </w:r>
          </w:p>
        </w:tc>
        <w:tc>
          <w:tcPr>
            <w:tcW w:w="854" w:type="dxa"/>
          </w:tcPr>
          <w:p w14:paraId="398EB5A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273.43 </w:t>
            </w:r>
          </w:p>
        </w:tc>
      </w:tr>
      <w:tr w14:paraId="2347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14:paraId="126FF0B5">
            <w:pPr>
              <w:rPr>
                <w:sz w:val="18"/>
                <w:szCs w:val="18"/>
              </w:rPr>
            </w:pPr>
            <w:r>
              <w:rPr>
                <w:rFonts w:hint="eastAsia"/>
                <w:sz w:val="18"/>
                <w:szCs w:val="18"/>
              </w:rPr>
              <w:t>3.2</w:t>
            </w:r>
          </w:p>
        </w:tc>
        <w:tc>
          <w:tcPr>
            <w:tcW w:w="825" w:type="dxa"/>
            <w:vAlign w:val="center"/>
          </w:tcPr>
          <w:p w14:paraId="6B72143C">
            <w:pPr>
              <w:rPr>
                <w:sz w:val="18"/>
                <w:szCs w:val="18"/>
              </w:rPr>
            </w:pPr>
            <w:r>
              <w:rPr>
                <w:rFonts w:hint="eastAsia"/>
                <w:sz w:val="18"/>
                <w:szCs w:val="18"/>
              </w:rPr>
              <w:t>支付利息</w:t>
            </w:r>
          </w:p>
        </w:tc>
        <w:tc>
          <w:tcPr>
            <w:tcW w:w="854" w:type="dxa"/>
          </w:tcPr>
          <w:p w14:paraId="127F42C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314.86 </w:t>
            </w:r>
          </w:p>
        </w:tc>
        <w:tc>
          <w:tcPr>
            <w:tcW w:w="854" w:type="dxa"/>
          </w:tcPr>
          <w:p w14:paraId="37308A7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308.86 </w:t>
            </w:r>
          </w:p>
        </w:tc>
        <w:tc>
          <w:tcPr>
            <w:tcW w:w="854" w:type="dxa"/>
          </w:tcPr>
          <w:p w14:paraId="5C3C61A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302.64 </w:t>
            </w:r>
          </w:p>
        </w:tc>
        <w:tc>
          <w:tcPr>
            <w:tcW w:w="854" w:type="dxa"/>
          </w:tcPr>
          <w:p w14:paraId="137B118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296.20 </w:t>
            </w:r>
          </w:p>
        </w:tc>
        <w:tc>
          <w:tcPr>
            <w:tcW w:w="854" w:type="dxa"/>
          </w:tcPr>
          <w:p w14:paraId="735BEA9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289.53 </w:t>
            </w:r>
          </w:p>
        </w:tc>
        <w:tc>
          <w:tcPr>
            <w:tcW w:w="854" w:type="dxa"/>
          </w:tcPr>
          <w:p w14:paraId="2843837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282.62 </w:t>
            </w:r>
          </w:p>
        </w:tc>
        <w:tc>
          <w:tcPr>
            <w:tcW w:w="854" w:type="dxa"/>
          </w:tcPr>
          <w:p w14:paraId="41163EC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275.46 </w:t>
            </w:r>
          </w:p>
        </w:tc>
        <w:tc>
          <w:tcPr>
            <w:tcW w:w="854" w:type="dxa"/>
          </w:tcPr>
          <w:p w14:paraId="0D72F8A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268.04 </w:t>
            </w:r>
          </w:p>
        </w:tc>
        <w:tc>
          <w:tcPr>
            <w:tcW w:w="854" w:type="dxa"/>
          </w:tcPr>
          <w:p w14:paraId="0EBA573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260.36 </w:t>
            </w:r>
          </w:p>
        </w:tc>
        <w:tc>
          <w:tcPr>
            <w:tcW w:w="854" w:type="dxa"/>
          </w:tcPr>
          <w:p w14:paraId="1DB0C16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252.40 </w:t>
            </w:r>
          </w:p>
        </w:tc>
        <w:tc>
          <w:tcPr>
            <w:tcW w:w="854" w:type="dxa"/>
          </w:tcPr>
          <w:p w14:paraId="20F97AB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244.15 </w:t>
            </w:r>
          </w:p>
        </w:tc>
        <w:tc>
          <w:tcPr>
            <w:tcW w:w="854" w:type="dxa"/>
          </w:tcPr>
          <w:p w14:paraId="1DE6A67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235.60 </w:t>
            </w:r>
          </w:p>
        </w:tc>
        <w:tc>
          <w:tcPr>
            <w:tcW w:w="854" w:type="dxa"/>
          </w:tcPr>
          <w:p w14:paraId="348BE13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226.75 </w:t>
            </w:r>
          </w:p>
        </w:tc>
        <w:tc>
          <w:tcPr>
            <w:tcW w:w="854" w:type="dxa"/>
          </w:tcPr>
          <w:p w14:paraId="754CD71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217.58 </w:t>
            </w:r>
          </w:p>
        </w:tc>
        <w:tc>
          <w:tcPr>
            <w:tcW w:w="854" w:type="dxa"/>
          </w:tcPr>
          <w:p w14:paraId="1FE4B02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208.08 </w:t>
            </w:r>
          </w:p>
        </w:tc>
      </w:tr>
      <w:tr w14:paraId="7FCE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14:paraId="08913E83">
            <w:pPr>
              <w:rPr>
                <w:sz w:val="18"/>
                <w:szCs w:val="18"/>
              </w:rPr>
            </w:pPr>
            <w:r>
              <w:rPr>
                <w:rFonts w:hint="eastAsia"/>
                <w:sz w:val="18"/>
                <w:szCs w:val="18"/>
              </w:rPr>
              <w:t>4</w:t>
            </w:r>
          </w:p>
        </w:tc>
        <w:tc>
          <w:tcPr>
            <w:tcW w:w="825" w:type="dxa"/>
            <w:vAlign w:val="center"/>
          </w:tcPr>
          <w:p w14:paraId="4717DEF6">
            <w:pPr>
              <w:rPr>
                <w:sz w:val="18"/>
                <w:szCs w:val="18"/>
              </w:rPr>
            </w:pPr>
            <w:r>
              <w:rPr>
                <w:rFonts w:hint="eastAsia"/>
                <w:sz w:val="18"/>
                <w:szCs w:val="18"/>
              </w:rPr>
              <w:t>期末借款余额</w:t>
            </w:r>
          </w:p>
        </w:tc>
        <w:tc>
          <w:tcPr>
            <w:tcW w:w="854" w:type="dxa"/>
          </w:tcPr>
          <w:p w14:paraId="79D1661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8,579.35 </w:t>
            </w:r>
          </w:p>
        </w:tc>
        <w:tc>
          <w:tcPr>
            <w:tcW w:w="854" w:type="dxa"/>
          </w:tcPr>
          <w:p w14:paraId="71479C8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8,406.70 </w:t>
            </w:r>
          </w:p>
        </w:tc>
        <w:tc>
          <w:tcPr>
            <w:tcW w:w="854" w:type="dxa"/>
          </w:tcPr>
          <w:p w14:paraId="634D158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8,227.83 </w:t>
            </w:r>
          </w:p>
        </w:tc>
        <w:tc>
          <w:tcPr>
            <w:tcW w:w="854" w:type="dxa"/>
          </w:tcPr>
          <w:p w14:paraId="1F409DB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8,042.52 </w:t>
            </w:r>
          </w:p>
        </w:tc>
        <w:tc>
          <w:tcPr>
            <w:tcW w:w="854" w:type="dxa"/>
          </w:tcPr>
          <w:p w14:paraId="0CEF20A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7,850.55 </w:t>
            </w:r>
          </w:p>
        </w:tc>
        <w:tc>
          <w:tcPr>
            <w:tcW w:w="854" w:type="dxa"/>
          </w:tcPr>
          <w:p w14:paraId="4CC3FF0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7,651.66 </w:t>
            </w:r>
          </w:p>
        </w:tc>
        <w:tc>
          <w:tcPr>
            <w:tcW w:w="854" w:type="dxa"/>
          </w:tcPr>
          <w:p w14:paraId="161BAC6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7,445.61 </w:t>
            </w:r>
          </w:p>
        </w:tc>
        <w:tc>
          <w:tcPr>
            <w:tcW w:w="854" w:type="dxa"/>
          </w:tcPr>
          <w:p w14:paraId="3EB0A9E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7,232.14 </w:t>
            </w:r>
          </w:p>
        </w:tc>
        <w:tc>
          <w:tcPr>
            <w:tcW w:w="854" w:type="dxa"/>
          </w:tcPr>
          <w:p w14:paraId="1A71EFC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7,010.99 </w:t>
            </w:r>
          </w:p>
        </w:tc>
        <w:tc>
          <w:tcPr>
            <w:tcW w:w="854" w:type="dxa"/>
          </w:tcPr>
          <w:p w14:paraId="2007C93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6,781.88 </w:t>
            </w:r>
          </w:p>
        </w:tc>
        <w:tc>
          <w:tcPr>
            <w:tcW w:w="854" w:type="dxa"/>
          </w:tcPr>
          <w:p w14:paraId="65BEC70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6,544.52 </w:t>
            </w:r>
          </w:p>
        </w:tc>
        <w:tc>
          <w:tcPr>
            <w:tcW w:w="854" w:type="dxa"/>
          </w:tcPr>
          <w:p w14:paraId="62E62A0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6,298.61 </w:t>
            </w:r>
          </w:p>
        </w:tc>
        <w:tc>
          <w:tcPr>
            <w:tcW w:w="854" w:type="dxa"/>
          </w:tcPr>
          <w:p w14:paraId="32E79AF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6,043.85 </w:t>
            </w:r>
          </w:p>
        </w:tc>
        <w:tc>
          <w:tcPr>
            <w:tcW w:w="854" w:type="dxa"/>
          </w:tcPr>
          <w:p w14:paraId="7A30238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5,779.92 </w:t>
            </w:r>
          </w:p>
        </w:tc>
        <w:tc>
          <w:tcPr>
            <w:tcW w:w="854" w:type="dxa"/>
          </w:tcPr>
          <w:p w14:paraId="23D00EA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5,506.49 </w:t>
            </w:r>
          </w:p>
        </w:tc>
      </w:tr>
    </w:tbl>
    <w:p w14:paraId="188F90B2">
      <w:pPr>
        <w:pStyle w:val="2"/>
      </w:pPr>
    </w:p>
    <w:p w14:paraId="4E2B96B7">
      <w:pPr>
        <w:pStyle w:val="2"/>
      </w:pPr>
      <w:r>
        <w:rPr>
          <w:rFonts w:hint="eastAsia"/>
        </w:rPr>
        <w:t>续上表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921"/>
        <w:gridCol w:w="854"/>
        <w:gridCol w:w="854"/>
        <w:gridCol w:w="854"/>
        <w:gridCol w:w="854"/>
        <w:gridCol w:w="854"/>
        <w:gridCol w:w="854"/>
        <w:gridCol w:w="854"/>
        <w:gridCol w:w="854"/>
        <w:gridCol w:w="854"/>
        <w:gridCol w:w="854"/>
        <w:gridCol w:w="854"/>
        <w:gridCol w:w="854"/>
        <w:gridCol w:w="854"/>
        <w:gridCol w:w="795"/>
        <w:gridCol w:w="795"/>
      </w:tblGrid>
      <w:tr w14:paraId="6405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6D9D802C">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 xml:space="preserve">序号 </w:t>
            </w:r>
          </w:p>
        </w:tc>
        <w:tc>
          <w:tcPr>
            <w:tcW w:w="921" w:type="dxa"/>
            <w:vAlign w:val="center"/>
          </w:tcPr>
          <w:p w14:paraId="4E4B127E">
            <w:pPr>
              <w:rPr>
                <w:rFonts w:ascii="Times New Roman Regular" w:hAnsi="Times New Roman Regular" w:cs="Times New Roman Regular"/>
                <w:color w:val="000000" w:themeColor="text1"/>
                <w:sz w:val="18"/>
                <w:szCs w:val="18"/>
                <w14:textFill>
                  <w14:solidFill>
                    <w14:schemeClr w14:val="tx1"/>
                  </w14:solidFill>
                </w14:textFill>
              </w:rPr>
            </w:pPr>
            <w:r>
              <w:rPr>
                <w:rFonts w:hint="eastAsia"/>
                <w:sz w:val="18"/>
                <w:szCs w:val="18"/>
              </w:rPr>
              <w:t>运营年</w:t>
            </w:r>
          </w:p>
        </w:tc>
        <w:tc>
          <w:tcPr>
            <w:tcW w:w="854" w:type="dxa"/>
          </w:tcPr>
          <w:p w14:paraId="311152CD">
            <w:pPr>
              <w:jc w:val="center"/>
              <w:rPr>
                <w:sz w:val="18"/>
                <w:szCs w:val="18"/>
              </w:rPr>
            </w:pPr>
            <w:r>
              <w:rPr>
                <w:sz w:val="18"/>
                <w:szCs w:val="18"/>
              </w:rPr>
              <w:t>16</w:t>
            </w:r>
          </w:p>
        </w:tc>
        <w:tc>
          <w:tcPr>
            <w:tcW w:w="854" w:type="dxa"/>
          </w:tcPr>
          <w:p w14:paraId="00A252F3">
            <w:pPr>
              <w:jc w:val="center"/>
              <w:rPr>
                <w:sz w:val="18"/>
                <w:szCs w:val="18"/>
              </w:rPr>
            </w:pPr>
            <w:r>
              <w:rPr>
                <w:sz w:val="18"/>
                <w:szCs w:val="18"/>
              </w:rPr>
              <w:t>17</w:t>
            </w:r>
          </w:p>
        </w:tc>
        <w:tc>
          <w:tcPr>
            <w:tcW w:w="854" w:type="dxa"/>
          </w:tcPr>
          <w:p w14:paraId="6E54EAE6">
            <w:pPr>
              <w:jc w:val="center"/>
              <w:rPr>
                <w:sz w:val="18"/>
                <w:szCs w:val="18"/>
              </w:rPr>
            </w:pPr>
            <w:r>
              <w:rPr>
                <w:sz w:val="18"/>
                <w:szCs w:val="18"/>
              </w:rPr>
              <w:t>18</w:t>
            </w:r>
          </w:p>
        </w:tc>
        <w:tc>
          <w:tcPr>
            <w:tcW w:w="854" w:type="dxa"/>
          </w:tcPr>
          <w:p w14:paraId="4AC4635B">
            <w:pPr>
              <w:jc w:val="center"/>
              <w:rPr>
                <w:sz w:val="18"/>
                <w:szCs w:val="18"/>
              </w:rPr>
            </w:pPr>
            <w:r>
              <w:rPr>
                <w:sz w:val="18"/>
                <w:szCs w:val="18"/>
              </w:rPr>
              <w:t>19</w:t>
            </w:r>
          </w:p>
        </w:tc>
        <w:tc>
          <w:tcPr>
            <w:tcW w:w="854" w:type="dxa"/>
          </w:tcPr>
          <w:p w14:paraId="6B246B5A">
            <w:pPr>
              <w:jc w:val="center"/>
              <w:rPr>
                <w:sz w:val="18"/>
                <w:szCs w:val="18"/>
              </w:rPr>
            </w:pPr>
            <w:r>
              <w:rPr>
                <w:sz w:val="18"/>
                <w:szCs w:val="18"/>
              </w:rPr>
              <w:t>20</w:t>
            </w:r>
          </w:p>
        </w:tc>
        <w:tc>
          <w:tcPr>
            <w:tcW w:w="854" w:type="dxa"/>
          </w:tcPr>
          <w:p w14:paraId="6F375EF8">
            <w:pPr>
              <w:jc w:val="center"/>
              <w:rPr>
                <w:sz w:val="18"/>
                <w:szCs w:val="18"/>
              </w:rPr>
            </w:pPr>
            <w:r>
              <w:rPr>
                <w:sz w:val="18"/>
                <w:szCs w:val="18"/>
              </w:rPr>
              <w:t>21</w:t>
            </w:r>
          </w:p>
        </w:tc>
        <w:tc>
          <w:tcPr>
            <w:tcW w:w="854" w:type="dxa"/>
          </w:tcPr>
          <w:p w14:paraId="3A4332ED">
            <w:pPr>
              <w:jc w:val="center"/>
              <w:rPr>
                <w:sz w:val="18"/>
                <w:szCs w:val="18"/>
              </w:rPr>
            </w:pPr>
            <w:r>
              <w:rPr>
                <w:sz w:val="18"/>
                <w:szCs w:val="18"/>
              </w:rPr>
              <w:t>22</w:t>
            </w:r>
          </w:p>
        </w:tc>
        <w:tc>
          <w:tcPr>
            <w:tcW w:w="854" w:type="dxa"/>
          </w:tcPr>
          <w:p w14:paraId="3F05780D">
            <w:pPr>
              <w:jc w:val="center"/>
              <w:rPr>
                <w:sz w:val="18"/>
                <w:szCs w:val="18"/>
              </w:rPr>
            </w:pPr>
            <w:r>
              <w:rPr>
                <w:sz w:val="18"/>
                <w:szCs w:val="18"/>
              </w:rPr>
              <w:t>23</w:t>
            </w:r>
          </w:p>
        </w:tc>
        <w:tc>
          <w:tcPr>
            <w:tcW w:w="854" w:type="dxa"/>
          </w:tcPr>
          <w:p w14:paraId="4FDB6F47">
            <w:pPr>
              <w:jc w:val="center"/>
              <w:rPr>
                <w:sz w:val="18"/>
                <w:szCs w:val="18"/>
              </w:rPr>
            </w:pPr>
            <w:r>
              <w:rPr>
                <w:sz w:val="18"/>
                <w:szCs w:val="18"/>
              </w:rPr>
              <w:t>24</w:t>
            </w:r>
          </w:p>
        </w:tc>
        <w:tc>
          <w:tcPr>
            <w:tcW w:w="854" w:type="dxa"/>
          </w:tcPr>
          <w:p w14:paraId="3048C77E">
            <w:pPr>
              <w:jc w:val="center"/>
              <w:rPr>
                <w:sz w:val="18"/>
                <w:szCs w:val="18"/>
              </w:rPr>
            </w:pPr>
            <w:r>
              <w:rPr>
                <w:sz w:val="18"/>
                <w:szCs w:val="18"/>
              </w:rPr>
              <w:t>25</w:t>
            </w:r>
          </w:p>
        </w:tc>
        <w:tc>
          <w:tcPr>
            <w:tcW w:w="854" w:type="dxa"/>
          </w:tcPr>
          <w:p w14:paraId="7319F84C">
            <w:pPr>
              <w:jc w:val="center"/>
              <w:rPr>
                <w:sz w:val="18"/>
                <w:szCs w:val="18"/>
              </w:rPr>
            </w:pPr>
            <w:r>
              <w:rPr>
                <w:sz w:val="18"/>
                <w:szCs w:val="18"/>
              </w:rPr>
              <w:t>26</w:t>
            </w:r>
          </w:p>
        </w:tc>
        <w:tc>
          <w:tcPr>
            <w:tcW w:w="854" w:type="dxa"/>
          </w:tcPr>
          <w:p w14:paraId="46577F68">
            <w:pPr>
              <w:jc w:val="center"/>
              <w:rPr>
                <w:sz w:val="18"/>
                <w:szCs w:val="18"/>
              </w:rPr>
            </w:pPr>
            <w:r>
              <w:rPr>
                <w:sz w:val="18"/>
                <w:szCs w:val="18"/>
              </w:rPr>
              <w:t>27</w:t>
            </w:r>
          </w:p>
        </w:tc>
        <w:tc>
          <w:tcPr>
            <w:tcW w:w="854" w:type="dxa"/>
          </w:tcPr>
          <w:p w14:paraId="25BFA61B">
            <w:pPr>
              <w:jc w:val="center"/>
              <w:rPr>
                <w:sz w:val="18"/>
                <w:szCs w:val="18"/>
              </w:rPr>
            </w:pPr>
            <w:r>
              <w:rPr>
                <w:sz w:val="18"/>
                <w:szCs w:val="18"/>
              </w:rPr>
              <w:t>28</w:t>
            </w:r>
          </w:p>
        </w:tc>
        <w:tc>
          <w:tcPr>
            <w:tcW w:w="795" w:type="dxa"/>
          </w:tcPr>
          <w:p w14:paraId="44540DCF">
            <w:pPr>
              <w:jc w:val="center"/>
              <w:rPr>
                <w:sz w:val="18"/>
                <w:szCs w:val="18"/>
              </w:rPr>
            </w:pPr>
            <w:r>
              <w:rPr>
                <w:sz w:val="18"/>
                <w:szCs w:val="18"/>
              </w:rPr>
              <w:t>29</w:t>
            </w:r>
          </w:p>
        </w:tc>
        <w:tc>
          <w:tcPr>
            <w:tcW w:w="795" w:type="dxa"/>
          </w:tcPr>
          <w:p w14:paraId="67A29A49">
            <w:pPr>
              <w:jc w:val="center"/>
              <w:rPr>
                <w:sz w:val="18"/>
                <w:szCs w:val="18"/>
              </w:rPr>
            </w:pPr>
            <w:r>
              <w:rPr>
                <w:sz w:val="18"/>
                <w:szCs w:val="18"/>
              </w:rPr>
              <w:t>30</w:t>
            </w:r>
          </w:p>
        </w:tc>
      </w:tr>
      <w:tr w14:paraId="777E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4C73B772">
            <w:pPr>
              <w:rPr>
                <w:sz w:val="18"/>
                <w:szCs w:val="18"/>
              </w:rPr>
            </w:pPr>
            <w:r>
              <w:rPr>
                <w:rFonts w:hint="eastAsia"/>
                <w:sz w:val="18"/>
                <w:szCs w:val="18"/>
              </w:rPr>
              <w:t>1</w:t>
            </w:r>
          </w:p>
        </w:tc>
        <w:tc>
          <w:tcPr>
            <w:tcW w:w="921" w:type="dxa"/>
            <w:vAlign w:val="center"/>
          </w:tcPr>
          <w:p w14:paraId="0E5169E2">
            <w:pPr>
              <w:rPr>
                <w:sz w:val="18"/>
                <w:szCs w:val="18"/>
              </w:rPr>
            </w:pPr>
            <w:r>
              <w:rPr>
                <w:rFonts w:hint="eastAsia"/>
                <w:sz w:val="18"/>
                <w:szCs w:val="18"/>
              </w:rPr>
              <w:t>期初借款余额</w:t>
            </w:r>
          </w:p>
        </w:tc>
        <w:tc>
          <w:tcPr>
            <w:tcW w:w="854" w:type="dxa"/>
          </w:tcPr>
          <w:p w14:paraId="6457B1E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5,506.49 </w:t>
            </w:r>
          </w:p>
        </w:tc>
        <w:tc>
          <w:tcPr>
            <w:tcW w:w="854" w:type="dxa"/>
          </w:tcPr>
          <w:p w14:paraId="1351E57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5,223.22 </w:t>
            </w:r>
          </w:p>
        </w:tc>
        <w:tc>
          <w:tcPr>
            <w:tcW w:w="854" w:type="dxa"/>
          </w:tcPr>
          <w:p w14:paraId="47DC85D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4,929.75 </w:t>
            </w:r>
          </w:p>
        </w:tc>
        <w:tc>
          <w:tcPr>
            <w:tcW w:w="854" w:type="dxa"/>
          </w:tcPr>
          <w:p w14:paraId="7207FFE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4,625.71 </w:t>
            </w:r>
          </w:p>
        </w:tc>
        <w:tc>
          <w:tcPr>
            <w:tcW w:w="854" w:type="dxa"/>
          </w:tcPr>
          <w:p w14:paraId="37F1C0A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4,310.73 </w:t>
            </w:r>
          </w:p>
        </w:tc>
        <w:tc>
          <w:tcPr>
            <w:tcW w:w="854" w:type="dxa"/>
          </w:tcPr>
          <w:p w14:paraId="507877E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3,984.41 </w:t>
            </w:r>
          </w:p>
        </w:tc>
        <w:tc>
          <w:tcPr>
            <w:tcW w:w="854" w:type="dxa"/>
          </w:tcPr>
          <w:p w14:paraId="389C72F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3,646.34 </w:t>
            </w:r>
          </w:p>
        </w:tc>
        <w:tc>
          <w:tcPr>
            <w:tcW w:w="854" w:type="dxa"/>
          </w:tcPr>
          <w:p w14:paraId="64F45C3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3,296.10 </w:t>
            </w:r>
          </w:p>
        </w:tc>
        <w:tc>
          <w:tcPr>
            <w:tcW w:w="854" w:type="dxa"/>
          </w:tcPr>
          <w:p w14:paraId="0D82203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2,933.25 </w:t>
            </w:r>
          </w:p>
        </w:tc>
        <w:tc>
          <w:tcPr>
            <w:tcW w:w="854" w:type="dxa"/>
          </w:tcPr>
          <w:p w14:paraId="541BACD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2,557.34 </w:t>
            </w:r>
          </w:p>
        </w:tc>
        <w:tc>
          <w:tcPr>
            <w:tcW w:w="854" w:type="dxa"/>
          </w:tcPr>
          <w:p w14:paraId="44C25E1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2,167.89 </w:t>
            </w:r>
          </w:p>
        </w:tc>
        <w:tc>
          <w:tcPr>
            <w:tcW w:w="854" w:type="dxa"/>
          </w:tcPr>
          <w:p w14:paraId="6F9F813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1,764.43 </w:t>
            </w:r>
          </w:p>
        </w:tc>
        <w:tc>
          <w:tcPr>
            <w:tcW w:w="854" w:type="dxa"/>
          </w:tcPr>
          <w:p w14:paraId="552D59B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1,346.44 </w:t>
            </w:r>
          </w:p>
        </w:tc>
        <w:tc>
          <w:tcPr>
            <w:tcW w:w="795" w:type="dxa"/>
          </w:tcPr>
          <w:p w14:paraId="47D8DFE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913.40 </w:t>
            </w:r>
          </w:p>
        </w:tc>
        <w:tc>
          <w:tcPr>
            <w:tcW w:w="795" w:type="dxa"/>
          </w:tcPr>
          <w:p w14:paraId="6612BA3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464.78 </w:t>
            </w:r>
          </w:p>
        </w:tc>
      </w:tr>
      <w:tr w14:paraId="4EC1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5AAE8296">
            <w:pPr>
              <w:rPr>
                <w:sz w:val="18"/>
                <w:szCs w:val="18"/>
              </w:rPr>
            </w:pPr>
            <w:r>
              <w:rPr>
                <w:rFonts w:hint="eastAsia"/>
                <w:sz w:val="18"/>
                <w:szCs w:val="18"/>
              </w:rPr>
              <w:t>2</w:t>
            </w:r>
          </w:p>
        </w:tc>
        <w:tc>
          <w:tcPr>
            <w:tcW w:w="921" w:type="dxa"/>
            <w:vAlign w:val="center"/>
          </w:tcPr>
          <w:p w14:paraId="73D48D21">
            <w:pPr>
              <w:rPr>
                <w:sz w:val="18"/>
                <w:szCs w:val="18"/>
              </w:rPr>
            </w:pPr>
            <w:r>
              <w:rPr>
                <w:rFonts w:hint="eastAsia"/>
                <w:sz w:val="18"/>
                <w:szCs w:val="18"/>
              </w:rPr>
              <w:t>当期新增借款</w:t>
            </w:r>
          </w:p>
        </w:tc>
        <w:tc>
          <w:tcPr>
            <w:tcW w:w="854" w:type="dxa"/>
          </w:tcPr>
          <w:p w14:paraId="3C37269F">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2AD17083">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3FD627C2">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15C012F9">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04A4979A">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3958AAD0">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199DCC6D">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55B8236D">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1433DE6C">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24E89633">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09D6E884">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14A2B618">
            <w:pPr>
              <w:rPr>
                <w:rFonts w:ascii="Times New Roman Regular" w:hAnsi="Times New Roman Regular" w:cs="Times New Roman Regular"/>
                <w:color w:val="000000" w:themeColor="text1"/>
                <w:sz w:val="18"/>
                <w:szCs w:val="18"/>
                <w14:textFill>
                  <w14:solidFill>
                    <w14:schemeClr w14:val="tx1"/>
                  </w14:solidFill>
                </w14:textFill>
              </w:rPr>
            </w:pPr>
          </w:p>
        </w:tc>
        <w:tc>
          <w:tcPr>
            <w:tcW w:w="854" w:type="dxa"/>
          </w:tcPr>
          <w:p w14:paraId="41307BA7">
            <w:pPr>
              <w:rPr>
                <w:rFonts w:ascii="Times New Roman Regular" w:hAnsi="Times New Roman Regular" w:cs="Times New Roman Regular"/>
                <w:color w:val="000000" w:themeColor="text1"/>
                <w:sz w:val="18"/>
                <w:szCs w:val="18"/>
                <w14:textFill>
                  <w14:solidFill>
                    <w14:schemeClr w14:val="tx1"/>
                  </w14:solidFill>
                </w14:textFill>
              </w:rPr>
            </w:pPr>
          </w:p>
        </w:tc>
        <w:tc>
          <w:tcPr>
            <w:tcW w:w="795" w:type="dxa"/>
          </w:tcPr>
          <w:p w14:paraId="7C0493B3">
            <w:pPr>
              <w:rPr>
                <w:rFonts w:ascii="Times New Roman Regular" w:hAnsi="Times New Roman Regular" w:cs="Times New Roman Regular"/>
                <w:color w:val="000000" w:themeColor="text1"/>
                <w:sz w:val="18"/>
                <w:szCs w:val="18"/>
                <w14:textFill>
                  <w14:solidFill>
                    <w14:schemeClr w14:val="tx1"/>
                  </w14:solidFill>
                </w14:textFill>
              </w:rPr>
            </w:pPr>
          </w:p>
        </w:tc>
        <w:tc>
          <w:tcPr>
            <w:tcW w:w="795" w:type="dxa"/>
          </w:tcPr>
          <w:p w14:paraId="56A338A8">
            <w:pPr>
              <w:rPr>
                <w:rFonts w:ascii="Times New Roman Regular" w:hAnsi="Times New Roman Regular" w:cs="Times New Roman Regular"/>
                <w:color w:val="000000" w:themeColor="text1"/>
                <w:sz w:val="18"/>
                <w:szCs w:val="18"/>
                <w14:textFill>
                  <w14:solidFill>
                    <w14:schemeClr w14:val="tx1"/>
                  </w14:solidFill>
                </w14:textFill>
              </w:rPr>
            </w:pPr>
          </w:p>
        </w:tc>
      </w:tr>
      <w:tr w14:paraId="7DDC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6B3EE43C">
            <w:pPr>
              <w:rPr>
                <w:sz w:val="18"/>
                <w:szCs w:val="18"/>
              </w:rPr>
            </w:pPr>
            <w:r>
              <w:rPr>
                <w:rFonts w:hint="eastAsia"/>
                <w:sz w:val="18"/>
                <w:szCs w:val="18"/>
              </w:rPr>
              <w:t>3</w:t>
            </w:r>
          </w:p>
        </w:tc>
        <w:tc>
          <w:tcPr>
            <w:tcW w:w="921" w:type="dxa"/>
            <w:vAlign w:val="center"/>
          </w:tcPr>
          <w:p w14:paraId="66C6B646">
            <w:pPr>
              <w:rPr>
                <w:sz w:val="18"/>
                <w:szCs w:val="18"/>
              </w:rPr>
            </w:pPr>
            <w:r>
              <w:rPr>
                <w:rFonts w:hint="eastAsia"/>
                <w:sz w:val="18"/>
                <w:szCs w:val="18"/>
              </w:rPr>
              <w:t>当期还本付息</w:t>
            </w:r>
          </w:p>
        </w:tc>
        <w:tc>
          <w:tcPr>
            <w:tcW w:w="854" w:type="dxa"/>
          </w:tcPr>
          <w:p w14:paraId="704B8B9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1D37433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6C19D47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35F8CA6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2478832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3E4BD3B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7E070DC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6FA9028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41D3EB4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79F71AE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17D0DF2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430D81C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854" w:type="dxa"/>
          </w:tcPr>
          <w:p w14:paraId="7837B7D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481.51 </w:t>
            </w:r>
          </w:p>
        </w:tc>
        <w:tc>
          <w:tcPr>
            <w:tcW w:w="795" w:type="dxa"/>
          </w:tcPr>
          <w:p w14:paraId="0C95383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481.51 </w:t>
            </w:r>
          </w:p>
        </w:tc>
        <w:tc>
          <w:tcPr>
            <w:tcW w:w="795" w:type="dxa"/>
          </w:tcPr>
          <w:p w14:paraId="539B0A0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481.51 </w:t>
            </w:r>
          </w:p>
        </w:tc>
      </w:tr>
      <w:tr w14:paraId="6CB1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0861A5BF">
            <w:pPr>
              <w:rPr>
                <w:sz w:val="18"/>
                <w:szCs w:val="18"/>
              </w:rPr>
            </w:pPr>
            <w:r>
              <w:rPr>
                <w:rFonts w:hint="eastAsia"/>
                <w:sz w:val="18"/>
                <w:szCs w:val="18"/>
              </w:rPr>
              <w:t>3.1</w:t>
            </w:r>
          </w:p>
        </w:tc>
        <w:tc>
          <w:tcPr>
            <w:tcW w:w="921" w:type="dxa"/>
            <w:vAlign w:val="center"/>
          </w:tcPr>
          <w:p w14:paraId="25203C12">
            <w:pPr>
              <w:rPr>
                <w:sz w:val="18"/>
                <w:szCs w:val="18"/>
              </w:rPr>
            </w:pPr>
            <w:r>
              <w:rPr>
                <w:rFonts w:hint="eastAsia"/>
                <w:sz w:val="18"/>
                <w:szCs w:val="18"/>
              </w:rPr>
              <w:t>偿还本金</w:t>
            </w:r>
          </w:p>
        </w:tc>
        <w:tc>
          <w:tcPr>
            <w:tcW w:w="854" w:type="dxa"/>
          </w:tcPr>
          <w:p w14:paraId="60AD546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283.27 </w:t>
            </w:r>
          </w:p>
        </w:tc>
        <w:tc>
          <w:tcPr>
            <w:tcW w:w="854" w:type="dxa"/>
          </w:tcPr>
          <w:p w14:paraId="748BF9C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293.47 </w:t>
            </w:r>
          </w:p>
        </w:tc>
        <w:tc>
          <w:tcPr>
            <w:tcW w:w="854" w:type="dxa"/>
          </w:tcPr>
          <w:p w14:paraId="38F9A1D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304.04 </w:t>
            </w:r>
          </w:p>
        </w:tc>
        <w:tc>
          <w:tcPr>
            <w:tcW w:w="854" w:type="dxa"/>
          </w:tcPr>
          <w:p w14:paraId="5BC222B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314.98 </w:t>
            </w:r>
          </w:p>
        </w:tc>
        <w:tc>
          <w:tcPr>
            <w:tcW w:w="854" w:type="dxa"/>
          </w:tcPr>
          <w:p w14:paraId="41BBE65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326.32 </w:t>
            </w:r>
          </w:p>
        </w:tc>
        <w:tc>
          <w:tcPr>
            <w:tcW w:w="854" w:type="dxa"/>
          </w:tcPr>
          <w:p w14:paraId="608028C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338.07 </w:t>
            </w:r>
          </w:p>
        </w:tc>
        <w:tc>
          <w:tcPr>
            <w:tcW w:w="854" w:type="dxa"/>
          </w:tcPr>
          <w:p w14:paraId="2FA8B18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350.24 </w:t>
            </w:r>
          </w:p>
        </w:tc>
        <w:tc>
          <w:tcPr>
            <w:tcW w:w="854" w:type="dxa"/>
          </w:tcPr>
          <w:p w14:paraId="75AF8F6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362.85 </w:t>
            </w:r>
          </w:p>
        </w:tc>
        <w:tc>
          <w:tcPr>
            <w:tcW w:w="854" w:type="dxa"/>
          </w:tcPr>
          <w:p w14:paraId="6B1E9E2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375.91 </w:t>
            </w:r>
          </w:p>
        </w:tc>
        <w:tc>
          <w:tcPr>
            <w:tcW w:w="854" w:type="dxa"/>
          </w:tcPr>
          <w:p w14:paraId="10A5BEF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389.44 </w:t>
            </w:r>
          </w:p>
        </w:tc>
        <w:tc>
          <w:tcPr>
            <w:tcW w:w="854" w:type="dxa"/>
          </w:tcPr>
          <w:p w14:paraId="419CF01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403.46 </w:t>
            </w:r>
          </w:p>
        </w:tc>
        <w:tc>
          <w:tcPr>
            <w:tcW w:w="854" w:type="dxa"/>
          </w:tcPr>
          <w:p w14:paraId="3CB45A3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417.99 </w:t>
            </w:r>
          </w:p>
        </w:tc>
        <w:tc>
          <w:tcPr>
            <w:tcW w:w="854" w:type="dxa"/>
          </w:tcPr>
          <w:p w14:paraId="6DF57CA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433.04 </w:t>
            </w:r>
          </w:p>
        </w:tc>
        <w:tc>
          <w:tcPr>
            <w:tcW w:w="795" w:type="dxa"/>
          </w:tcPr>
          <w:p w14:paraId="7DBB942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448.63 </w:t>
            </w:r>
          </w:p>
        </w:tc>
        <w:tc>
          <w:tcPr>
            <w:tcW w:w="795" w:type="dxa"/>
          </w:tcPr>
          <w:p w14:paraId="2030016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464.78 </w:t>
            </w:r>
          </w:p>
        </w:tc>
      </w:tr>
      <w:tr w14:paraId="5EDA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7251EAF2">
            <w:pPr>
              <w:rPr>
                <w:sz w:val="18"/>
                <w:szCs w:val="18"/>
              </w:rPr>
            </w:pPr>
            <w:r>
              <w:rPr>
                <w:rFonts w:hint="eastAsia"/>
                <w:sz w:val="18"/>
                <w:szCs w:val="18"/>
              </w:rPr>
              <w:t>3.2</w:t>
            </w:r>
          </w:p>
        </w:tc>
        <w:tc>
          <w:tcPr>
            <w:tcW w:w="921" w:type="dxa"/>
            <w:vAlign w:val="center"/>
          </w:tcPr>
          <w:p w14:paraId="4BAF3CD3">
            <w:pPr>
              <w:rPr>
                <w:sz w:val="18"/>
                <w:szCs w:val="18"/>
              </w:rPr>
            </w:pPr>
            <w:r>
              <w:rPr>
                <w:rFonts w:hint="eastAsia"/>
                <w:sz w:val="18"/>
                <w:szCs w:val="18"/>
              </w:rPr>
              <w:t>支付利息</w:t>
            </w:r>
          </w:p>
        </w:tc>
        <w:tc>
          <w:tcPr>
            <w:tcW w:w="854" w:type="dxa"/>
          </w:tcPr>
          <w:p w14:paraId="1CBD4EA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198.23 </w:t>
            </w:r>
          </w:p>
        </w:tc>
        <w:tc>
          <w:tcPr>
            <w:tcW w:w="854" w:type="dxa"/>
          </w:tcPr>
          <w:p w14:paraId="258055D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188.04 </w:t>
            </w:r>
          </w:p>
        </w:tc>
        <w:tc>
          <w:tcPr>
            <w:tcW w:w="854" w:type="dxa"/>
          </w:tcPr>
          <w:p w14:paraId="476A9AE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177.47 </w:t>
            </w:r>
          </w:p>
        </w:tc>
        <w:tc>
          <w:tcPr>
            <w:tcW w:w="854" w:type="dxa"/>
          </w:tcPr>
          <w:p w14:paraId="5FC69DA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166.53 </w:t>
            </w:r>
          </w:p>
        </w:tc>
        <w:tc>
          <w:tcPr>
            <w:tcW w:w="854" w:type="dxa"/>
          </w:tcPr>
          <w:p w14:paraId="619A55B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155.19 </w:t>
            </w:r>
          </w:p>
        </w:tc>
        <w:tc>
          <w:tcPr>
            <w:tcW w:w="854" w:type="dxa"/>
          </w:tcPr>
          <w:p w14:paraId="78D870E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143.44 </w:t>
            </w:r>
          </w:p>
        </w:tc>
        <w:tc>
          <w:tcPr>
            <w:tcW w:w="854" w:type="dxa"/>
          </w:tcPr>
          <w:p w14:paraId="22712D8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131.27 </w:t>
            </w:r>
          </w:p>
        </w:tc>
        <w:tc>
          <w:tcPr>
            <w:tcW w:w="854" w:type="dxa"/>
          </w:tcPr>
          <w:p w14:paraId="6AED8B5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118.66 </w:t>
            </w:r>
          </w:p>
        </w:tc>
        <w:tc>
          <w:tcPr>
            <w:tcW w:w="854" w:type="dxa"/>
          </w:tcPr>
          <w:p w14:paraId="36081C0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105.60 </w:t>
            </w:r>
          </w:p>
        </w:tc>
        <w:tc>
          <w:tcPr>
            <w:tcW w:w="854" w:type="dxa"/>
          </w:tcPr>
          <w:p w14:paraId="7028A0B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92.06 </w:t>
            </w:r>
          </w:p>
        </w:tc>
        <w:tc>
          <w:tcPr>
            <w:tcW w:w="854" w:type="dxa"/>
          </w:tcPr>
          <w:p w14:paraId="61AB958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78.04 </w:t>
            </w:r>
          </w:p>
        </w:tc>
        <w:tc>
          <w:tcPr>
            <w:tcW w:w="854" w:type="dxa"/>
          </w:tcPr>
          <w:p w14:paraId="0E953E3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63.52 </w:t>
            </w:r>
          </w:p>
        </w:tc>
        <w:tc>
          <w:tcPr>
            <w:tcW w:w="854" w:type="dxa"/>
          </w:tcPr>
          <w:p w14:paraId="0E81288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48.47 </w:t>
            </w:r>
          </w:p>
        </w:tc>
        <w:tc>
          <w:tcPr>
            <w:tcW w:w="795" w:type="dxa"/>
          </w:tcPr>
          <w:p w14:paraId="0BFC039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32.88 </w:t>
            </w:r>
          </w:p>
        </w:tc>
        <w:tc>
          <w:tcPr>
            <w:tcW w:w="795" w:type="dxa"/>
          </w:tcPr>
          <w:p w14:paraId="5E22245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16.73 </w:t>
            </w:r>
          </w:p>
        </w:tc>
      </w:tr>
      <w:tr w14:paraId="3E42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7709DD27">
            <w:pPr>
              <w:rPr>
                <w:sz w:val="18"/>
                <w:szCs w:val="18"/>
              </w:rPr>
            </w:pPr>
            <w:r>
              <w:rPr>
                <w:rFonts w:hint="eastAsia"/>
                <w:sz w:val="18"/>
                <w:szCs w:val="18"/>
              </w:rPr>
              <w:t>4</w:t>
            </w:r>
          </w:p>
        </w:tc>
        <w:tc>
          <w:tcPr>
            <w:tcW w:w="921" w:type="dxa"/>
            <w:vAlign w:val="center"/>
          </w:tcPr>
          <w:p w14:paraId="50760C3D">
            <w:pPr>
              <w:rPr>
                <w:sz w:val="18"/>
                <w:szCs w:val="18"/>
              </w:rPr>
            </w:pPr>
            <w:r>
              <w:rPr>
                <w:rFonts w:hint="eastAsia"/>
                <w:sz w:val="18"/>
                <w:szCs w:val="18"/>
              </w:rPr>
              <w:t>期末借款余额</w:t>
            </w:r>
          </w:p>
        </w:tc>
        <w:tc>
          <w:tcPr>
            <w:tcW w:w="854" w:type="dxa"/>
          </w:tcPr>
          <w:p w14:paraId="5BC06FB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5,223.22 </w:t>
            </w:r>
          </w:p>
        </w:tc>
        <w:tc>
          <w:tcPr>
            <w:tcW w:w="854" w:type="dxa"/>
          </w:tcPr>
          <w:p w14:paraId="008B1E2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4,929.75 </w:t>
            </w:r>
          </w:p>
        </w:tc>
        <w:tc>
          <w:tcPr>
            <w:tcW w:w="854" w:type="dxa"/>
          </w:tcPr>
          <w:p w14:paraId="74112B2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4,625.71 </w:t>
            </w:r>
          </w:p>
        </w:tc>
        <w:tc>
          <w:tcPr>
            <w:tcW w:w="854" w:type="dxa"/>
          </w:tcPr>
          <w:p w14:paraId="51B1D86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4,310.73 </w:t>
            </w:r>
          </w:p>
        </w:tc>
        <w:tc>
          <w:tcPr>
            <w:tcW w:w="854" w:type="dxa"/>
          </w:tcPr>
          <w:p w14:paraId="2EC7CD3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3,984.41 </w:t>
            </w:r>
          </w:p>
        </w:tc>
        <w:tc>
          <w:tcPr>
            <w:tcW w:w="854" w:type="dxa"/>
          </w:tcPr>
          <w:p w14:paraId="4219BDF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3,646.34 </w:t>
            </w:r>
          </w:p>
        </w:tc>
        <w:tc>
          <w:tcPr>
            <w:tcW w:w="854" w:type="dxa"/>
          </w:tcPr>
          <w:p w14:paraId="7099323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3,296.10 </w:t>
            </w:r>
          </w:p>
        </w:tc>
        <w:tc>
          <w:tcPr>
            <w:tcW w:w="854" w:type="dxa"/>
          </w:tcPr>
          <w:p w14:paraId="4027B25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2,933.25 </w:t>
            </w:r>
          </w:p>
        </w:tc>
        <w:tc>
          <w:tcPr>
            <w:tcW w:w="854" w:type="dxa"/>
          </w:tcPr>
          <w:p w14:paraId="4DF13E9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2,557.34 </w:t>
            </w:r>
          </w:p>
        </w:tc>
        <w:tc>
          <w:tcPr>
            <w:tcW w:w="854" w:type="dxa"/>
          </w:tcPr>
          <w:p w14:paraId="3AFC282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2,167.89 </w:t>
            </w:r>
          </w:p>
        </w:tc>
        <w:tc>
          <w:tcPr>
            <w:tcW w:w="854" w:type="dxa"/>
          </w:tcPr>
          <w:p w14:paraId="769CA06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1,764.43 </w:t>
            </w:r>
          </w:p>
        </w:tc>
        <w:tc>
          <w:tcPr>
            <w:tcW w:w="854" w:type="dxa"/>
          </w:tcPr>
          <w:p w14:paraId="71C2798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1,346.44 </w:t>
            </w:r>
          </w:p>
        </w:tc>
        <w:tc>
          <w:tcPr>
            <w:tcW w:w="854" w:type="dxa"/>
          </w:tcPr>
          <w:p w14:paraId="4CBC9E9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913.40 </w:t>
            </w:r>
          </w:p>
        </w:tc>
        <w:tc>
          <w:tcPr>
            <w:tcW w:w="795" w:type="dxa"/>
          </w:tcPr>
          <w:p w14:paraId="7B1CAE0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464.78 </w:t>
            </w:r>
          </w:p>
        </w:tc>
        <w:tc>
          <w:tcPr>
            <w:tcW w:w="795" w:type="dxa"/>
          </w:tcPr>
          <w:p w14:paraId="164DB5C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 -   </w:t>
            </w:r>
          </w:p>
        </w:tc>
      </w:tr>
    </w:tbl>
    <w:p w14:paraId="58681BB3">
      <w:pPr>
        <w:pStyle w:val="5"/>
      </w:pPr>
      <w:r>
        <w:t>3</w:t>
      </w:r>
      <w:r>
        <w:rPr>
          <w:rFonts w:hint="eastAsia"/>
        </w:rPr>
        <w:t>、损益表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163"/>
        <w:gridCol w:w="829"/>
        <w:gridCol w:w="829"/>
        <w:gridCol w:w="829"/>
        <w:gridCol w:w="829"/>
        <w:gridCol w:w="829"/>
        <w:gridCol w:w="829"/>
        <w:gridCol w:w="829"/>
        <w:gridCol w:w="829"/>
        <w:gridCol w:w="829"/>
        <w:gridCol w:w="826"/>
        <w:gridCol w:w="826"/>
        <w:gridCol w:w="826"/>
        <w:gridCol w:w="826"/>
        <w:gridCol w:w="826"/>
        <w:gridCol w:w="826"/>
      </w:tblGrid>
      <w:tr w14:paraId="0D2C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14:paraId="07225518">
            <w:pPr>
              <w:rPr>
                <w:sz w:val="18"/>
                <w:szCs w:val="18"/>
              </w:rPr>
            </w:pPr>
            <w:r>
              <w:rPr>
                <w:rFonts w:hint="eastAsia"/>
                <w:sz w:val="18"/>
                <w:szCs w:val="18"/>
              </w:rPr>
              <w:t xml:space="preserve">序号 </w:t>
            </w:r>
          </w:p>
        </w:tc>
        <w:tc>
          <w:tcPr>
            <w:tcW w:w="1163" w:type="dxa"/>
            <w:vAlign w:val="center"/>
          </w:tcPr>
          <w:p w14:paraId="4B271B36">
            <w:pPr>
              <w:rPr>
                <w:sz w:val="18"/>
                <w:szCs w:val="18"/>
              </w:rPr>
            </w:pPr>
            <w:r>
              <w:rPr>
                <w:rFonts w:hint="eastAsia"/>
                <w:sz w:val="18"/>
                <w:szCs w:val="18"/>
              </w:rPr>
              <w:t>运营年</w:t>
            </w:r>
          </w:p>
        </w:tc>
        <w:tc>
          <w:tcPr>
            <w:tcW w:w="829" w:type="dxa"/>
          </w:tcPr>
          <w:p w14:paraId="364BC7E0">
            <w:pPr>
              <w:jc w:val="center"/>
              <w:rPr>
                <w:sz w:val="18"/>
                <w:szCs w:val="18"/>
              </w:rPr>
            </w:pPr>
            <w:r>
              <w:rPr>
                <w:sz w:val="18"/>
                <w:szCs w:val="18"/>
              </w:rPr>
              <w:t>1</w:t>
            </w:r>
          </w:p>
        </w:tc>
        <w:tc>
          <w:tcPr>
            <w:tcW w:w="829" w:type="dxa"/>
          </w:tcPr>
          <w:p w14:paraId="143FAD60">
            <w:pPr>
              <w:jc w:val="center"/>
              <w:rPr>
                <w:sz w:val="18"/>
                <w:szCs w:val="18"/>
              </w:rPr>
            </w:pPr>
            <w:r>
              <w:rPr>
                <w:sz w:val="18"/>
                <w:szCs w:val="18"/>
              </w:rPr>
              <w:t>2</w:t>
            </w:r>
          </w:p>
        </w:tc>
        <w:tc>
          <w:tcPr>
            <w:tcW w:w="829" w:type="dxa"/>
          </w:tcPr>
          <w:p w14:paraId="69EAFCE9">
            <w:pPr>
              <w:jc w:val="center"/>
              <w:rPr>
                <w:sz w:val="18"/>
                <w:szCs w:val="18"/>
              </w:rPr>
            </w:pPr>
            <w:r>
              <w:rPr>
                <w:sz w:val="18"/>
                <w:szCs w:val="18"/>
              </w:rPr>
              <w:t>3</w:t>
            </w:r>
          </w:p>
        </w:tc>
        <w:tc>
          <w:tcPr>
            <w:tcW w:w="829" w:type="dxa"/>
          </w:tcPr>
          <w:p w14:paraId="76F569F5">
            <w:pPr>
              <w:jc w:val="center"/>
              <w:rPr>
                <w:sz w:val="18"/>
                <w:szCs w:val="18"/>
              </w:rPr>
            </w:pPr>
            <w:r>
              <w:rPr>
                <w:sz w:val="18"/>
                <w:szCs w:val="18"/>
              </w:rPr>
              <w:t>4</w:t>
            </w:r>
          </w:p>
        </w:tc>
        <w:tc>
          <w:tcPr>
            <w:tcW w:w="829" w:type="dxa"/>
          </w:tcPr>
          <w:p w14:paraId="3FEECAC0">
            <w:pPr>
              <w:jc w:val="center"/>
              <w:rPr>
                <w:sz w:val="18"/>
                <w:szCs w:val="18"/>
              </w:rPr>
            </w:pPr>
            <w:r>
              <w:rPr>
                <w:sz w:val="18"/>
                <w:szCs w:val="18"/>
              </w:rPr>
              <w:t>5</w:t>
            </w:r>
          </w:p>
        </w:tc>
        <w:tc>
          <w:tcPr>
            <w:tcW w:w="829" w:type="dxa"/>
          </w:tcPr>
          <w:p w14:paraId="46E4ED35">
            <w:pPr>
              <w:jc w:val="center"/>
              <w:rPr>
                <w:sz w:val="18"/>
                <w:szCs w:val="18"/>
              </w:rPr>
            </w:pPr>
            <w:r>
              <w:rPr>
                <w:sz w:val="18"/>
                <w:szCs w:val="18"/>
              </w:rPr>
              <w:t>6</w:t>
            </w:r>
          </w:p>
        </w:tc>
        <w:tc>
          <w:tcPr>
            <w:tcW w:w="829" w:type="dxa"/>
          </w:tcPr>
          <w:p w14:paraId="576CF2B4">
            <w:pPr>
              <w:jc w:val="center"/>
              <w:rPr>
                <w:sz w:val="18"/>
                <w:szCs w:val="18"/>
              </w:rPr>
            </w:pPr>
            <w:r>
              <w:rPr>
                <w:sz w:val="18"/>
                <w:szCs w:val="18"/>
              </w:rPr>
              <w:t>7</w:t>
            </w:r>
          </w:p>
        </w:tc>
        <w:tc>
          <w:tcPr>
            <w:tcW w:w="829" w:type="dxa"/>
          </w:tcPr>
          <w:p w14:paraId="09A7C52D">
            <w:pPr>
              <w:jc w:val="center"/>
              <w:rPr>
                <w:sz w:val="18"/>
                <w:szCs w:val="18"/>
              </w:rPr>
            </w:pPr>
            <w:r>
              <w:rPr>
                <w:sz w:val="18"/>
                <w:szCs w:val="18"/>
              </w:rPr>
              <w:t>8</w:t>
            </w:r>
          </w:p>
        </w:tc>
        <w:tc>
          <w:tcPr>
            <w:tcW w:w="829" w:type="dxa"/>
          </w:tcPr>
          <w:p w14:paraId="04440467">
            <w:pPr>
              <w:jc w:val="center"/>
              <w:rPr>
                <w:sz w:val="18"/>
                <w:szCs w:val="18"/>
              </w:rPr>
            </w:pPr>
            <w:r>
              <w:rPr>
                <w:sz w:val="18"/>
                <w:szCs w:val="18"/>
              </w:rPr>
              <w:t>9</w:t>
            </w:r>
          </w:p>
        </w:tc>
        <w:tc>
          <w:tcPr>
            <w:tcW w:w="826" w:type="dxa"/>
          </w:tcPr>
          <w:p w14:paraId="4069879C">
            <w:pPr>
              <w:jc w:val="center"/>
              <w:rPr>
                <w:sz w:val="18"/>
                <w:szCs w:val="18"/>
              </w:rPr>
            </w:pPr>
            <w:r>
              <w:rPr>
                <w:sz w:val="18"/>
                <w:szCs w:val="18"/>
              </w:rPr>
              <w:t>10</w:t>
            </w:r>
          </w:p>
        </w:tc>
        <w:tc>
          <w:tcPr>
            <w:tcW w:w="826" w:type="dxa"/>
          </w:tcPr>
          <w:p w14:paraId="2B843B3F">
            <w:pPr>
              <w:jc w:val="center"/>
              <w:rPr>
                <w:sz w:val="18"/>
                <w:szCs w:val="18"/>
              </w:rPr>
            </w:pPr>
            <w:r>
              <w:rPr>
                <w:sz w:val="18"/>
                <w:szCs w:val="18"/>
              </w:rPr>
              <w:t>11</w:t>
            </w:r>
          </w:p>
        </w:tc>
        <w:tc>
          <w:tcPr>
            <w:tcW w:w="826" w:type="dxa"/>
          </w:tcPr>
          <w:p w14:paraId="0AE1B5FC">
            <w:pPr>
              <w:jc w:val="center"/>
              <w:rPr>
                <w:sz w:val="18"/>
                <w:szCs w:val="18"/>
              </w:rPr>
            </w:pPr>
            <w:r>
              <w:rPr>
                <w:sz w:val="18"/>
                <w:szCs w:val="18"/>
              </w:rPr>
              <w:t>12</w:t>
            </w:r>
          </w:p>
        </w:tc>
        <w:tc>
          <w:tcPr>
            <w:tcW w:w="826" w:type="dxa"/>
          </w:tcPr>
          <w:p w14:paraId="100F2CB6">
            <w:pPr>
              <w:jc w:val="center"/>
              <w:rPr>
                <w:sz w:val="18"/>
                <w:szCs w:val="18"/>
              </w:rPr>
            </w:pPr>
            <w:r>
              <w:rPr>
                <w:sz w:val="18"/>
                <w:szCs w:val="18"/>
              </w:rPr>
              <w:t>13</w:t>
            </w:r>
          </w:p>
        </w:tc>
        <w:tc>
          <w:tcPr>
            <w:tcW w:w="826" w:type="dxa"/>
          </w:tcPr>
          <w:p w14:paraId="31330362">
            <w:pPr>
              <w:jc w:val="center"/>
              <w:rPr>
                <w:sz w:val="18"/>
                <w:szCs w:val="18"/>
              </w:rPr>
            </w:pPr>
            <w:r>
              <w:rPr>
                <w:sz w:val="18"/>
                <w:szCs w:val="18"/>
              </w:rPr>
              <w:t>14</w:t>
            </w:r>
          </w:p>
        </w:tc>
        <w:tc>
          <w:tcPr>
            <w:tcW w:w="826" w:type="dxa"/>
          </w:tcPr>
          <w:p w14:paraId="0D158219">
            <w:pPr>
              <w:jc w:val="center"/>
              <w:rPr>
                <w:sz w:val="18"/>
                <w:szCs w:val="18"/>
              </w:rPr>
            </w:pPr>
            <w:r>
              <w:rPr>
                <w:sz w:val="18"/>
                <w:szCs w:val="18"/>
              </w:rPr>
              <w:t>15</w:t>
            </w:r>
          </w:p>
        </w:tc>
      </w:tr>
      <w:tr w14:paraId="6DD2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14:paraId="072C6CE2">
            <w:pPr>
              <w:rPr>
                <w:sz w:val="18"/>
                <w:szCs w:val="18"/>
              </w:rPr>
            </w:pPr>
            <w:r>
              <w:rPr>
                <w:sz w:val="18"/>
                <w:szCs w:val="18"/>
              </w:rPr>
              <w:t>1</w:t>
            </w:r>
          </w:p>
        </w:tc>
        <w:tc>
          <w:tcPr>
            <w:tcW w:w="1163" w:type="dxa"/>
          </w:tcPr>
          <w:p w14:paraId="4E59C3B0">
            <w:pPr>
              <w:rPr>
                <w:sz w:val="18"/>
                <w:szCs w:val="18"/>
              </w:rPr>
            </w:pPr>
            <w:r>
              <w:rPr>
                <w:rFonts w:hint="eastAsia"/>
                <w:sz w:val="18"/>
                <w:szCs w:val="18"/>
              </w:rPr>
              <w:t>营业收入（不含税）</w:t>
            </w:r>
          </w:p>
        </w:tc>
        <w:tc>
          <w:tcPr>
            <w:tcW w:w="829" w:type="dxa"/>
          </w:tcPr>
          <w:p w14:paraId="64B5098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9" w:type="dxa"/>
          </w:tcPr>
          <w:p w14:paraId="103AA08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9" w:type="dxa"/>
          </w:tcPr>
          <w:p w14:paraId="342C84B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9" w:type="dxa"/>
          </w:tcPr>
          <w:p w14:paraId="2AECA3D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9" w:type="dxa"/>
          </w:tcPr>
          <w:p w14:paraId="5355775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9" w:type="dxa"/>
          </w:tcPr>
          <w:p w14:paraId="10D1475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9" w:type="dxa"/>
          </w:tcPr>
          <w:p w14:paraId="47A98CB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9" w:type="dxa"/>
          </w:tcPr>
          <w:p w14:paraId="4E87713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9" w:type="dxa"/>
          </w:tcPr>
          <w:p w14:paraId="3D0E273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6" w:type="dxa"/>
          </w:tcPr>
          <w:p w14:paraId="630233B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6" w:type="dxa"/>
          </w:tcPr>
          <w:p w14:paraId="668757D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6" w:type="dxa"/>
          </w:tcPr>
          <w:p w14:paraId="7142855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6" w:type="dxa"/>
          </w:tcPr>
          <w:p w14:paraId="20021C1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6" w:type="dxa"/>
          </w:tcPr>
          <w:p w14:paraId="0BFC954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6" w:type="dxa"/>
          </w:tcPr>
          <w:p w14:paraId="73F735A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r>
      <w:tr w14:paraId="2FE7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14:paraId="38E23353">
            <w:pPr>
              <w:rPr>
                <w:sz w:val="18"/>
                <w:szCs w:val="18"/>
              </w:rPr>
            </w:pPr>
            <w:r>
              <w:rPr>
                <w:sz w:val="18"/>
                <w:szCs w:val="18"/>
              </w:rPr>
              <w:t>2</w:t>
            </w:r>
          </w:p>
        </w:tc>
        <w:tc>
          <w:tcPr>
            <w:tcW w:w="1163" w:type="dxa"/>
          </w:tcPr>
          <w:p w14:paraId="58D7D8A2">
            <w:pPr>
              <w:rPr>
                <w:sz w:val="18"/>
                <w:szCs w:val="18"/>
              </w:rPr>
            </w:pPr>
            <w:r>
              <w:rPr>
                <w:rFonts w:hint="eastAsia"/>
                <w:sz w:val="18"/>
                <w:szCs w:val="18"/>
              </w:rPr>
              <w:t>税金及附加</w:t>
            </w:r>
          </w:p>
        </w:tc>
        <w:tc>
          <w:tcPr>
            <w:tcW w:w="829" w:type="dxa"/>
          </w:tcPr>
          <w:p w14:paraId="6B9EA4C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9" w:type="dxa"/>
          </w:tcPr>
          <w:p w14:paraId="40235B2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9" w:type="dxa"/>
          </w:tcPr>
          <w:p w14:paraId="276CB55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9" w:type="dxa"/>
          </w:tcPr>
          <w:p w14:paraId="1074CF9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9" w:type="dxa"/>
          </w:tcPr>
          <w:p w14:paraId="6C4C0A8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9" w:type="dxa"/>
          </w:tcPr>
          <w:p w14:paraId="3C3BB10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9" w:type="dxa"/>
          </w:tcPr>
          <w:p w14:paraId="590271C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9" w:type="dxa"/>
          </w:tcPr>
          <w:p w14:paraId="4DD3567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9" w:type="dxa"/>
          </w:tcPr>
          <w:p w14:paraId="3FA8695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6" w:type="dxa"/>
          </w:tcPr>
          <w:p w14:paraId="3ADE409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6" w:type="dxa"/>
          </w:tcPr>
          <w:p w14:paraId="7B5FCE3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6" w:type="dxa"/>
          </w:tcPr>
          <w:p w14:paraId="2577287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6" w:type="dxa"/>
          </w:tcPr>
          <w:p w14:paraId="67591DD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6" w:type="dxa"/>
          </w:tcPr>
          <w:p w14:paraId="60DAF0E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6" w:type="dxa"/>
          </w:tcPr>
          <w:p w14:paraId="4A58134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r>
      <w:tr w14:paraId="4B2D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14:paraId="57E0AAE6">
            <w:pPr>
              <w:rPr>
                <w:sz w:val="18"/>
                <w:szCs w:val="18"/>
              </w:rPr>
            </w:pPr>
            <w:r>
              <w:rPr>
                <w:sz w:val="18"/>
                <w:szCs w:val="18"/>
              </w:rPr>
              <w:t>3</w:t>
            </w:r>
          </w:p>
        </w:tc>
        <w:tc>
          <w:tcPr>
            <w:tcW w:w="1163" w:type="dxa"/>
          </w:tcPr>
          <w:p w14:paraId="61092081">
            <w:pPr>
              <w:rPr>
                <w:sz w:val="18"/>
                <w:szCs w:val="18"/>
              </w:rPr>
            </w:pPr>
            <w:r>
              <w:rPr>
                <w:rFonts w:hint="eastAsia"/>
                <w:sz w:val="18"/>
                <w:szCs w:val="18"/>
              </w:rPr>
              <w:t>退税</w:t>
            </w:r>
          </w:p>
        </w:tc>
        <w:tc>
          <w:tcPr>
            <w:tcW w:w="829" w:type="dxa"/>
          </w:tcPr>
          <w:p w14:paraId="3630E4B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9" w:type="dxa"/>
          </w:tcPr>
          <w:p w14:paraId="0CC3BB0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9" w:type="dxa"/>
          </w:tcPr>
          <w:p w14:paraId="4BEB580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9" w:type="dxa"/>
          </w:tcPr>
          <w:p w14:paraId="1E9E00B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9" w:type="dxa"/>
          </w:tcPr>
          <w:p w14:paraId="2E8ED22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9" w:type="dxa"/>
          </w:tcPr>
          <w:p w14:paraId="3820582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9" w:type="dxa"/>
          </w:tcPr>
          <w:p w14:paraId="4BE2253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9" w:type="dxa"/>
          </w:tcPr>
          <w:p w14:paraId="3DBB459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9" w:type="dxa"/>
          </w:tcPr>
          <w:p w14:paraId="54688C3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6" w:type="dxa"/>
          </w:tcPr>
          <w:p w14:paraId="49D6F65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6" w:type="dxa"/>
          </w:tcPr>
          <w:p w14:paraId="56B5267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6" w:type="dxa"/>
          </w:tcPr>
          <w:p w14:paraId="7E91B2A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6" w:type="dxa"/>
          </w:tcPr>
          <w:p w14:paraId="367F30B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6" w:type="dxa"/>
          </w:tcPr>
          <w:p w14:paraId="487DC9E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6" w:type="dxa"/>
          </w:tcPr>
          <w:p w14:paraId="1CB79DC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r>
      <w:tr w14:paraId="0917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14:paraId="2F0B24FA">
            <w:pPr>
              <w:rPr>
                <w:sz w:val="18"/>
                <w:szCs w:val="18"/>
              </w:rPr>
            </w:pPr>
            <w:r>
              <w:rPr>
                <w:sz w:val="18"/>
                <w:szCs w:val="18"/>
              </w:rPr>
              <w:t>4</w:t>
            </w:r>
          </w:p>
        </w:tc>
        <w:tc>
          <w:tcPr>
            <w:tcW w:w="1163" w:type="dxa"/>
          </w:tcPr>
          <w:p w14:paraId="599664CF">
            <w:pPr>
              <w:rPr>
                <w:sz w:val="18"/>
                <w:szCs w:val="18"/>
              </w:rPr>
            </w:pPr>
            <w:r>
              <w:rPr>
                <w:rFonts w:hint="eastAsia"/>
                <w:sz w:val="18"/>
                <w:szCs w:val="18"/>
              </w:rPr>
              <w:t>总成本费用（不含税）</w:t>
            </w:r>
          </w:p>
        </w:tc>
        <w:tc>
          <w:tcPr>
            <w:tcW w:w="829" w:type="dxa"/>
          </w:tcPr>
          <w:p w14:paraId="79A638C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914.21 </w:t>
            </w:r>
          </w:p>
        </w:tc>
        <w:tc>
          <w:tcPr>
            <w:tcW w:w="829" w:type="dxa"/>
          </w:tcPr>
          <w:p w14:paraId="78DE2E5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908.21 </w:t>
            </w:r>
          </w:p>
        </w:tc>
        <w:tc>
          <w:tcPr>
            <w:tcW w:w="829" w:type="dxa"/>
          </w:tcPr>
          <w:p w14:paraId="7EA4DB6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902.00 </w:t>
            </w:r>
          </w:p>
        </w:tc>
        <w:tc>
          <w:tcPr>
            <w:tcW w:w="829" w:type="dxa"/>
          </w:tcPr>
          <w:p w14:paraId="15810A5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895.56 </w:t>
            </w:r>
          </w:p>
        </w:tc>
        <w:tc>
          <w:tcPr>
            <w:tcW w:w="829" w:type="dxa"/>
          </w:tcPr>
          <w:p w14:paraId="1277111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888.89 </w:t>
            </w:r>
          </w:p>
        </w:tc>
        <w:tc>
          <w:tcPr>
            <w:tcW w:w="829" w:type="dxa"/>
          </w:tcPr>
          <w:p w14:paraId="7CD8470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881.97 </w:t>
            </w:r>
          </w:p>
        </w:tc>
        <w:tc>
          <w:tcPr>
            <w:tcW w:w="829" w:type="dxa"/>
          </w:tcPr>
          <w:p w14:paraId="1029819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874.81 </w:t>
            </w:r>
          </w:p>
        </w:tc>
        <w:tc>
          <w:tcPr>
            <w:tcW w:w="829" w:type="dxa"/>
          </w:tcPr>
          <w:p w14:paraId="235CE0D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867.40 </w:t>
            </w:r>
          </w:p>
        </w:tc>
        <w:tc>
          <w:tcPr>
            <w:tcW w:w="829" w:type="dxa"/>
          </w:tcPr>
          <w:p w14:paraId="3D2B267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859.71 </w:t>
            </w:r>
          </w:p>
        </w:tc>
        <w:tc>
          <w:tcPr>
            <w:tcW w:w="826" w:type="dxa"/>
          </w:tcPr>
          <w:p w14:paraId="3B6ECB0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851.75 </w:t>
            </w:r>
          </w:p>
        </w:tc>
        <w:tc>
          <w:tcPr>
            <w:tcW w:w="826" w:type="dxa"/>
          </w:tcPr>
          <w:p w14:paraId="2470207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843.50 </w:t>
            </w:r>
          </w:p>
        </w:tc>
        <w:tc>
          <w:tcPr>
            <w:tcW w:w="826" w:type="dxa"/>
          </w:tcPr>
          <w:p w14:paraId="7C9B3DC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834.96 </w:t>
            </w:r>
          </w:p>
        </w:tc>
        <w:tc>
          <w:tcPr>
            <w:tcW w:w="826" w:type="dxa"/>
          </w:tcPr>
          <w:p w14:paraId="6A9E5B2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826.11 </w:t>
            </w:r>
          </w:p>
        </w:tc>
        <w:tc>
          <w:tcPr>
            <w:tcW w:w="826" w:type="dxa"/>
          </w:tcPr>
          <w:p w14:paraId="581CC3A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816.93 </w:t>
            </w:r>
          </w:p>
        </w:tc>
        <w:tc>
          <w:tcPr>
            <w:tcW w:w="826" w:type="dxa"/>
          </w:tcPr>
          <w:p w14:paraId="628AFCF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807.43 </w:t>
            </w:r>
          </w:p>
        </w:tc>
      </w:tr>
      <w:tr w14:paraId="5C42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14:paraId="63310C96">
            <w:pPr>
              <w:rPr>
                <w:sz w:val="18"/>
                <w:szCs w:val="18"/>
              </w:rPr>
            </w:pPr>
            <w:r>
              <w:rPr>
                <w:sz w:val="18"/>
                <w:szCs w:val="18"/>
              </w:rPr>
              <w:t>6</w:t>
            </w:r>
          </w:p>
        </w:tc>
        <w:tc>
          <w:tcPr>
            <w:tcW w:w="1163" w:type="dxa"/>
          </w:tcPr>
          <w:p w14:paraId="6BBCCD1A">
            <w:pPr>
              <w:rPr>
                <w:sz w:val="18"/>
                <w:szCs w:val="18"/>
              </w:rPr>
            </w:pPr>
            <w:r>
              <w:rPr>
                <w:rFonts w:hint="eastAsia"/>
                <w:sz w:val="18"/>
                <w:szCs w:val="18"/>
              </w:rPr>
              <w:t>利润总额</w:t>
            </w:r>
          </w:p>
        </w:tc>
        <w:tc>
          <w:tcPr>
            <w:tcW w:w="829" w:type="dxa"/>
          </w:tcPr>
          <w:p w14:paraId="45154CE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(30.73)</w:t>
            </w:r>
          </w:p>
        </w:tc>
        <w:tc>
          <w:tcPr>
            <w:tcW w:w="829" w:type="dxa"/>
          </w:tcPr>
          <w:p w14:paraId="5D3396C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(24.73)</w:t>
            </w:r>
          </w:p>
        </w:tc>
        <w:tc>
          <w:tcPr>
            <w:tcW w:w="829" w:type="dxa"/>
          </w:tcPr>
          <w:p w14:paraId="1F2C22D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(18.51)</w:t>
            </w:r>
          </w:p>
        </w:tc>
        <w:tc>
          <w:tcPr>
            <w:tcW w:w="829" w:type="dxa"/>
          </w:tcPr>
          <w:p w14:paraId="7B42589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(12.07)</w:t>
            </w:r>
          </w:p>
        </w:tc>
        <w:tc>
          <w:tcPr>
            <w:tcW w:w="829" w:type="dxa"/>
          </w:tcPr>
          <w:p w14:paraId="3B4C9C2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(5.40)</w:t>
            </w:r>
          </w:p>
        </w:tc>
        <w:tc>
          <w:tcPr>
            <w:tcW w:w="829" w:type="dxa"/>
          </w:tcPr>
          <w:p w14:paraId="05103A9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1.51 </w:t>
            </w:r>
          </w:p>
        </w:tc>
        <w:tc>
          <w:tcPr>
            <w:tcW w:w="829" w:type="dxa"/>
          </w:tcPr>
          <w:p w14:paraId="5AA4C7A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8.67 </w:t>
            </w:r>
          </w:p>
        </w:tc>
        <w:tc>
          <w:tcPr>
            <w:tcW w:w="829" w:type="dxa"/>
          </w:tcPr>
          <w:p w14:paraId="7E8C948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16.09 </w:t>
            </w:r>
          </w:p>
        </w:tc>
        <w:tc>
          <w:tcPr>
            <w:tcW w:w="829" w:type="dxa"/>
          </w:tcPr>
          <w:p w14:paraId="722BF69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23.77 </w:t>
            </w:r>
          </w:p>
        </w:tc>
        <w:tc>
          <w:tcPr>
            <w:tcW w:w="826" w:type="dxa"/>
          </w:tcPr>
          <w:p w14:paraId="1B9F9AA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31.73 </w:t>
            </w:r>
          </w:p>
        </w:tc>
        <w:tc>
          <w:tcPr>
            <w:tcW w:w="826" w:type="dxa"/>
          </w:tcPr>
          <w:p w14:paraId="54FCE17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39.98 </w:t>
            </w:r>
          </w:p>
        </w:tc>
        <w:tc>
          <w:tcPr>
            <w:tcW w:w="826" w:type="dxa"/>
          </w:tcPr>
          <w:p w14:paraId="04637D0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48.53 </w:t>
            </w:r>
          </w:p>
        </w:tc>
        <w:tc>
          <w:tcPr>
            <w:tcW w:w="826" w:type="dxa"/>
          </w:tcPr>
          <w:p w14:paraId="77C0891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57.38 </w:t>
            </w:r>
          </w:p>
        </w:tc>
        <w:tc>
          <w:tcPr>
            <w:tcW w:w="826" w:type="dxa"/>
          </w:tcPr>
          <w:p w14:paraId="305790B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66.55 </w:t>
            </w:r>
          </w:p>
        </w:tc>
        <w:tc>
          <w:tcPr>
            <w:tcW w:w="826" w:type="dxa"/>
          </w:tcPr>
          <w:p w14:paraId="2A56BAA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76.05 </w:t>
            </w:r>
          </w:p>
        </w:tc>
      </w:tr>
      <w:tr w14:paraId="0B23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14:paraId="3F726090">
            <w:pPr>
              <w:rPr>
                <w:sz w:val="18"/>
                <w:szCs w:val="18"/>
              </w:rPr>
            </w:pPr>
            <w:r>
              <w:rPr>
                <w:sz w:val="18"/>
                <w:szCs w:val="18"/>
              </w:rPr>
              <w:t>7</w:t>
            </w:r>
          </w:p>
        </w:tc>
        <w:tc>
          <w:tcPr>
            <w:tcW w:w="1163" w:type="dxa"/>
          </w:tcPr>
          <w:p w14:paraId="21EF3B46">
            <w:pPr>
              <w:rPr>
                <w:sz w:val="18"/>
                <w:szCs w:val="18"/>
              </w:rPr>
            </w:pPr>
            <w:r>
              <w:rPr>
                <w:rFonts w:hint="eastAsia"/>
                <w:sz w:val="18"/>
                <w:szCs w:val="18"/>
              </w:rPr>
              <w:t>弥补以前年度亏损</w:t>
            </w:r>
          </w:p>
        </w:tc>
        <w:tc>
          <w:tcPr>
            <w:tcW w:w="829" w:type="dxa"/>
          </w:tcPr>
          <w:p w14:paraId="71C1A06D">
            <w:pPr>
              <w:rPr>
                <w:sz w:val="18"/>
                <w:szCs w:val="18"/>
              </w:rPr>
            </w:pPr>
            <w:r>
              <w:rPr>
                <w:sz w:val="18"/>
                <w:szCs w:val="18"/>
              </w:rPr>
              <w:t xml:space="preserve">0.00 </w:t>
            </w:r>
          </w:p>
        </w:tc>
        <w:tc>
          <w:tcPr>
            <w:tcW w:w="829" w:type="dxa"/>
          </w:tcPr>
          <w:p w14:paraId="2C34780D">
            <w:pPr>
              <w:rPr>
                <w:sz w:val="18"/>
                <w:szCs w:val="18"/>
              </w:rPr>
            </w:pPr>
            <w:r>
              <w:rPr>
                <w:sz w:val="18"/>
                <w:szCs w:val="18"/>
              </w:rPr>
              <w:t xml:space="preserve">0.00 </w:t>
            </w:r>
          </w:p>
        </w:tc>
        <w:tc>
          <w:tcPr>
            <w:tcW w:w="829" w:type="dxa"/>
          </w:tcPr>
          <w:p w14:paraId="73EE4756">
            <w:pPr>
              <w:rPr>
                <w:sz w:val="18"/>
                <w:szCs w:val="18"/>
              </w:rPr>
            </w:pPr>
            <w:r>
              <w:rPr>
                <w:sz w:val="18"/>
                <w:szCs w:val="18"/>
              </w:rPr>
              <w:t xml:space="preserve">0.00 </w:t>
            </w:r>
          </w:p>
        </w:tc>
        <w:tc>
          <w:tcPr>
            <w:tcW w:w="829" w:type="dxa"/>
          </w:tcPr>
          <w:p w14:paraId="1733AC6D">
            <w:pPr>
              <w:rPr>
                <w:sz w:val="18"/>
                <w:szCs w:val="18"/>
              </w:rPr>
            </w:pPr>
            <w:r>
              <w:rPr>
                <w:sz w:val="18"/>
                <w:szCs w:val="18"/>
              </w:rPr>
              <w:t xml:space="preserve">0.00 </w:t>
            </w:r>
          </w:p>
        </w:tc>
        <w:tc>
          <w:tcPr>
            <w:tcW w:w="829" w:type="dxa"/>
          </w:tcPr>
          <w:p w14:paraId="346A8094">
            <w:pPr>
              <w:rPr>
                <w:sz w:val="18"/>
                <w:szCs w:val="18"/>
              </w:rPr>
            </w:pPr>
            <w:r>
              <w:rPr>
                <w:sz w:val="18"/>
                <w:szCs w:val="18"/>
              </w:rPr>
              <w:t xml:space="preserve">0.00 </w:t>
            </w:r>
          </w:p>
        </w:tc>
        <w:tc>
          <w:tcPr>
            <w:tcW w:w="829" w:type="dxa"/>
          </w:tcPr>
          <w:p w14:paraId="74D38355">
            <w:pPr>
              <w:rPr>
                <w:sz w:val="18"/>
                <w:szCs w:val="18"/>
              </w:rPr>
            </w:pPr>
            <w:r>
              <w:rPr>
                <w:sz w:val="18"/>
                <w:szCs w:val="18"/>
              </w:rPr>
              <w:t xml:space="preserve">1.51 </w:t>
            </w:r>
          </w:p>
        </w:tc>
        <w:tc>
          <w:tcPr>
            <w:tcW w:w="829" w:type="dxa"/>
          </w:tcPr>
          <w:p w14:paraId="71623E59">
            <w:pPr>
              <w:rPr>
                <w:sz w:val="18"/>
                <w:szCs w:val="18"/>
              </w:rPr>
            </w:pPr>
            <w:r>
              <w:rPr>
                <w:sz w:val="18"/>
                <w:szCs w:val="18"/>
              </w:rPr>
              <w:t xml:space="preserve">8.67 </w:t>
            </w:r>
          </w:p>
        </w:tc>
        <w:tc>
          <w:tcPr>
            <w:tcW w:w="829" w:type="dxa"/>
          </w:tcPr>
          <w:p w14:paraId="60FEE0E1">
            <w:pPr>
              <w:rPr>
                <w:sz w:val="18"/>
                <w:szCs w:val="18"/>
              </w:rPr>
            </w:pPr>
            <w:r>
              <w:rPr>
                <w:sz w:val="18"/>
                <w:szCs w:val="18"/>
              </w:rPr>
              <w:t xml:space="preserve">16.09 </w:t>
            </w:r>
          </w:p>
        </w:tc>
        <w:tc>
          <w:tcPr>
            <w:tcW w:w="829" w:type="dxa"/>
          </w:tcPr>
          <w:p w14:paraId="2D05FE04">
            <w:pPr>
              <w:rPr>
                <w:sz w:val="18"/>
                <w:szCs w:val="18"/>
              </w:rPr>
            </w:pPr>
            <w:r>
              <w:rPr>
                <w:sz w:val="18"/>
                <w:szCs w:val="18"/>
              </w:rPr>
              <w:t xml:space="preserve">17.47 </w:t>
            </w:r>
          </w:p>
        </w:tc>
        <w:tc>
          <w:tcPr>
            <w:tcW w:w="826" w:type="dxa"/>
          </w:tcPr>
          <w:p w14:paraId="59EEB6F8">
            <w:pPr>
              <w:rPr>
                <w:sz w:val="18"/>
                <w:szCs w:val="18"/>
              </w:rPr>
            </w:pPr>
            <w:r>
              <w:rPr>
                <w:sz w:val="18"/>
                <w:szCs w:val="18"/>
              </w:rPr>
              <w:t xml:space="preserve">0.00 </w:t>
            </w:r>
          </w:p>
        </w:tc>
        <w:tc>
          <w:tcPr>
            <w:tcW w:w="826" w:type="dxa"/>
          </w:tcPr>
          <w:p w14:paraId="35EE27EE">
            <w:pPr>
              <w:rPr>
                <w:sz w:val="18"/>
                <w:szCs w:val="18"/>
              </w:rPr>
            </w:pPr>
            <w:r>
              <w:rPr>
                <w:sz w:val="18"/>
                <w:szCs w:val="18"/>
              </w:rPr>
              <w:t xml:space="preserve">0.00 </w:t>
            </w:r>
          </w:p>
        </w:tc>
        <w:tc>
          <w:tcPr>
            <w:tcW w:w="826" w:type="dxa"/>
          </w:tcPr>
          <w:p w14:paraId="0C7E9527">
            <w:pPr>
              <w:rPr>
                <w:sz w:val="18"/>
                <w:szCs w:val="18"/>
              </w:rPr>
            </w:pPr>
            <w:r>
              <w:rPr>
                <w:sz w:val="18"/>
                <w:szCs w:val="18"/>
              </w:rPr>
              <w:t xml:space="preserve">0.00 </w:t>
            </w:r>
          </w:p>
        </w:tc>
        <w:tc>
          <w:tcPr>
            <w:tcW w:w="826" w:type="dxa"/>
          </w:tcPr>
          <w:p w14:paraId="6F2CBBC7">
            <w:pPr>
              <w:rPr>
                <w:sz w:val="18"/>
                <w:szCs w:val="18"/>
              </w:rPr>
            </w:pPr>
            <w:r>
              <w:rPr>
                <w:sz w:val="18"/>
                <w:szCs w:val="18"/>
              </w:rPr>
              <w:t xml:space="preserve">0.00 </w:t>
            </w:r>
          </w:p>
        </w:tc>
        <w:tc>
          <w:tcPr>
            <w:tcW w:w="826" w:type="dxa"/>
          </w:tcPr>
          <w:p w14:paraId="222CAD7E">
            <w:pPr>
              <w:rPr>
                <w:sz w:val="18"/>
                <w:szCs w:val="18"/>
              </w:rPr>
            </w:pPr>
            <w:r>
              <w:rPr>
                <w:sz w:val="18"/>
                <w:szCs w:val="18"/>
              </w:rPr>
              <w:t xml:space="preserve">0.00 </w:t>
            </w:r>
          </w:p>
        </w:tc>
        <w:tc>
          <w:tcPr>
            <w:tcW w:w="826" w:type="dxa"/>
          </w:tcPr>
          <w:p w14:paraId="27087957">
            <w:pPr>
              <w:rPr>
                <w:sz w:val="18"/>
                <w:szCs w:val="18"/>
              </w:rPr>
            </w:pPr>
            <w:r>
              <w:rPr>
                <w:sz w:val="18"/>
                <w:szCs w:val="18"/>
              </w:rPr>
              <w:t xml:space="preserve">0.00 </w:t>
            </w:r>
          </w:p>
        </w:tc>
      </w:tr>
      <w:tr w14:paraId="34B9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14:paraId="4C9BB7B2">
            <w:pPr>
              <w:rPr>
                <w:sz w:val="18"/>
                <w:szCs w:val="18"/>
              </w:rPr>
            </w:pPr>
            <w:r>
              <w:rPr>
                <w:sz w:val="18"/>
                <w:szCs w:val="18"/>
              </w:rPr>
              <w:t>8</w:t>
            </w:r>
          </w:p>
        </w:tc>
        <w:tc>
          <w:tcPr>
            <w:tcW w:w="1163" w:type="dxa"/>
          </w:tcPr>
          <w:p w14:paraId="0CE30E78">
            <w:pPr>
              <w:rPr>
                <w:sz w:val="18"/>
                <w:szCs w:val="18"/>
              </w:rPr>
            </w:pPr>
            <w:r>
              <w:rPr>
                <w:rFonts w:hint="eastAsia"/>
                <w:sz w:val="18"/>
                <w:szCs w:val="18"/>
              </w:rPr>
              <w:t>前5年未弥补亏损</w:t>
            </w:r>
          </w:p>
        </w:tc>
        <w:tc>
          <w:tcPr>
            <w:tcW w:w="829" w:type="dxa"/>
          </w:tcPr>
          <w:p w14:paraId="7DAECD29">
            <w:pPr>
              <w:rPr>
                <w:sz w:val="18"/>
                <w:szCs w:val="18"/>
              </w:rPr>
            </w:pPr>
            <w:r>
              <w:rPr>
                <w:sz w:val="18"/>
                <w:szCs w:val="18"/>
              </w:rPr>
              <w:t xml:space="preserve">0.00 </w:t>
            </w:r>
          </w:p>
        </w:tc>
        <w:tc>
          <w:tcPr>
            <w:tcW w:w="829" w:type="dxa"/>
          </w:tcPr>
          <w:p w14:paraId="3601873F">
            <w:pPr>
              <w:rPr>
                <w:sz w:val="18"/>
                <w:szCs w:val="18"/>
              </w:rPr>
            </w:pPr>
            <w:r>
              <w:rPr>
                <w:sz w:val="18"/>
                <w:szCs w:val="18"/>
              </w:rPr>
              <w:t>(30.73)</w:t>
            </w:r>
          </w:p>
        </w:tc>
        <w:tc>
          <w:tcPr>
            <w:tcW w:w="829" w:type="dxa"/>
          </w:tcPr>
          <w:p w14:paraId="73AE3E58">
            <w:pPr>
              <w:rPr>
                <w:sz w:val="18"/>
                <w:szCs w:val="18"/>
              </w:rPr>
            </w:pPr>
            <w:r>
              <w:rPr>
                <w:sz w:val="18"/>
                <w:szCs w:val="18"/>
              </w:rPr>
              <w:t>(55.45)</w:t>
            </w:r>
          </w:p>
        </w:tc>
        <w:tc>
          <w:tcPr>
            <w:tcW w:w="829" w:type="dxa"/>
          </w:tcPr>
          <w:p w14:paraId="7E9ABA97">
            <w:pPr>
              <w:rPr>
                <w:sz w:val="18"/>
                <w:szCs w:val="18"/>
              </w:rPr>
            </w:pPr>
            <w:r>
              <w:rPr>
                <w:sz w:val="18"/>
                <w:szCs w:val="18"/>
              </w:rPr>
              <w:t>(73.96)</w:t>
            </w:r>
          </w:p>
        </w:tc>
        <w:tc>
          <w:tcPr>
            <w:tcW w:w="829" w:type="dxa"/>
          </w:tcPr>
          <w:p w14:paraId="10F5202E">
            <w:pPr>
              <w:rPr>
                <w:sz w:val="18"/>
                <w:szCs w:val="18"/>
              </w:rPr>
            </w:pPr>
            <w:r>
              <w:rPr>
                <w:sz w:val="18"/>
                <w:szCs w:val="18"/>
              </w:rPr>
              <w:t>(86.03)</w:t>
            </w:r>
          </w:p>
        </w:tc>
        <w:tc>
          <w:tcPr>
            <w:tcW w:w="829" w:type="dxa"/>
          </w:tcPr>
          <w:p w14:paraId="26E038CA">
            <w:pPr>
              <w:rPr>
                <w:sz w:val="18"/>
                <w:szCs w:val="18"/>
              </w:rPr>
            </w:pPr>
            <w:r>
              <w:rPr>
                <w:sz w:val="18"/>
                <w:szCs w:val="18"/>
              </w:rPr>
              <w:t>(91.43)</w:t>
            </w:r>
          </w:p>
        </w:tc>
        <w:tc>
          <w:tcPr>
            <w:tcW w:w="829" w:type="dxa"/>
          </w:tcPr>
          <w:p w14:paraId="02EF5A14">
            <w:pPr>
              <w:rPr>
                <w:sz w:val="18"/>
                <w:szCs w:val="18"/>
              </w:rPr>
            </w:pPr>
            <w:r>
              <w:rPr>
                <w:sz w:val="18"/>
                <w:szCs w:val="18"/>
              </w:rPr>
              <w:t>(60.71)</w:t>
            </w:r>
          </w:p>
        </w:tc>
        <w:tc>
          <w:tcPr>
            <w:tcW w:w="829" w:type="dxa"/>
          </w:tcPr>
          <w:p w14:paraId="335F69B0">
            <w:pPr>
              <w:rPr>
                <w:sz w:val="18"/>
                <w:szCs w:val="18"/>
              </w:rPr>
            </w:pPr>
            <w:r>
              <w:rPr>
                <w:sz w:val="18"/>
                <w:szCs w:val="18"/>
              </w:rPr>
              <w:t>(35.98)</w:t>
            </w:r>
          </w:p>
        </w:tc>
        <w:tc>
          <w:tcPr>
            <w:tcW w:w="829" w:type="dxa"/>
          </w:tcPr>
          <w:p w14:paraId="6E665629">
            <w:pPr>
              <w:rPr>
                <w:sz w:val="18"/>
                <w:szCs w:val="18"/>
              </w:rPr>
            </w:pPr>
            <w:r>
              <w:rPr>
                <w:sz w:val="18"/>
                <w:szCs w:val="18"/>
              </w:rPr>
              <w:t>(17.47)</w:t>
            </w:r>
          </w:p>
        </w:tc>
        <w:tc>
          <w:tcPr>
            <w:tcW w:w="826" w:type="dxa"/>
          </w:tcPr>
          <w:p w14:paraId="67044FD7">
            <w:pPr>
              <w:rPr>
                <w:sz w:val="18"/>
                <w:szCs w:val="18"/>
              </w:rPr>
            </w:pPr>
            <w:r>
              <w:rPr>
                <w:sz w:val="18"/>
                <w:szCs w:val="18"/>
              </w:rPr>
              <w:t xml:space="preserve">0.00 </w:t>
            </w:r>
          </w:p>
        </w:tc>
        <w:tc>
          <w:tcPr>
            <w:tcW w:w="826" w:type="dxa"/>
          </w:tcPr>
          <w:p w14:paraId="2B77C924">
            <w:pPr>
              <w:rPr>
                <w:sz w:val="18"/>
                <w:szCs w:val="18"/>
              </w:rPr>
            </w:pPr>
            <w:r>
              <w:rPr>
                <w:sz w:val="18"/>
                <w:szCs w:val="18"/>
              </w:rPr>
              <w:t xml:space="preserve">0.00 </w:t>
            </w:r>
          </w:p>
        </w:tc>
        <w:tc>
          <w:tcPr>
            <w:tcW w:w="826" w:type="dxa"/>
          </w:tcPr>
          <w:p w14:paraId="2D6C4258">
            <w:pPr>
              <w:rPr>
                <w:sz w:val="18"/>
                <w:szCs w:val="18"/>
              </w:rPr>
            </w:pPr>
            <w:r>
              <w:rPr>
                <w:sz w:val="18"/>
                <w:szCs w:val="18"/>
              </w:rPr>
              <w:t xml:space="preserve">0.00 </w:t>
            </w:r>
          </w:p>
        </w:tc>
        <w:tc>
          <w:tcPr>
            <w:tcW w:w="826" w:type="dxa"/>
          </w:tcPr>
          <w:p w14:paraId="2D3A02C3">
            <w:pPr>
              <w:rPr>
                <w:sz w:val="18"/>
                <w:szCs w:val="18"/>
              </w:rPr>
            </w:pPr>
            <w:r>
              <w:rPr>
                <w:sz w:val="18"/>
                <w:szCs w:val="18"/>
              </w:rPr>
              <w:t xml:space="preserve">0.00 </w:t>
            </w:r>
          </w:p>
        </w:tc>
        <w:tc>
          <w:tcPr>
            <w:tcW w:w="826" w:type="dxa"/>
          </w:tcPr>
          <w:p w14:paraId="2588AFAF">
            <w:pPr>
              <w:rPr>
                <w:sz w:val="18"/>
                <w:szCs w:val="18"/>
              </w:rPr>
            </w:pPr>
            <w:r>
              <w:rPr>
                <w:sz w:val="18"/>
                <w:szCs w:val="18"/>
              </w:rPr>
              <w:t xml:space="preserve">0.00 </w:t>
            </w:r>
          </w:p>
        </w:tc>
        <w:tc>
          <w:tcPr>
            <w:tcW w:w="826" w:type="dxa"/>
          </w:tcPr>
          <w:p w14:paraId="07C892F0">
            <w:pPr>
              <w:rPr>
                <w:sz w:val="18"/>
                <w:szCs w:val="18"/>
              </w:rPr>
            </w:pPr>
            <w:r>
              <w:rPr>
                <w:sz w:val="18"/>
                <w:szCs w:val="18"/>
              </w:rPr>
              <w:t xml:space="preserve">0.00 </w:t>
            </w:r>
          </w:p>
        </w:tc>
      </w:tr>
      <w:tr w14:paraId="74E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14:paraId="7A454642">
            <w:pPr>
              <w:rPr>
                <w:sz w:val="18"/>
                <w:szCs w:val="18"/>
              </w:rPr>
            </w:pPr>
            <w:r>
              <w:rPr>
                <w:sz w:val="18"/>
                <w:szCs w:val="18"/>
              </w:rPr>
              <w:t>9</w:t>
            </w:r>
          </w:p>
        </w:tc>
        <w:tc>
          <w:tcPr>
            <w:tcW w:w="1163" w:type="dxa"/>
          </w:tcPr>
          <w:p w14:paraId="4EA54969">
            <w:pPr>
              <w:rPr>
                <w:sz w:val="18"/>
                <w:szCs w:val="18"/>
              </w:rPr>
            </w:pPr>
            <w:r>
              <w:rPr>
                <w:rFonts w:hint="eastAsia"/>
                <w:sz w:val="18"/>
                <w:szCs w:val="18"/>
              </w:rPr>
              <w:t>应纳税所得额</w:t>
            </w:r>
          </w:p>
        </w:tc>
        <w:tc>
          <w:tcPr>
            <w:tcW w:w="829" w:type="dxa"/>
          </w:tcPr>
          <w:p w14:paraId="35FE2FAA">
            <w:pPr>
              <w:rPr>
                <w:sz w:val="18"/>
                <w:szCs w:val="18"/>
              </w:rPr>
            </w:pPr>
            <w:r>
              <w:rPr>
                <w:sz w:val="18"/>
                <w:szCs w:val="18"/>
              </w:rPr>
              <w:t>(30.73)</w:t>
            </w:r>
          </w:p>
        </w:tc>
        <w:tc>
          <w:tcPr>
            <w:tcW w:w="829" w:type="dxa"/>
          </w:tcPr>
          <w:p w14:paraId="73776386">
            <w:pPr>
              <w:rPr>
                <w:sz w:val="18"/>
                <w:szCs w:val="18"/>
              </w:rPr>
            </w:pPr>
            <w:r>
              <w:rPr>
                <w:sz w:val="18"/>
                <w:szCs w:val="18"/>
              </w:rPr>
              <w:t>(24.73)</w:t>
            </w:r>
          </w:p>
        </w:tc>
        <w:tc>
          <w:tcPr>
            <w:tcW w:w="829" w:type="dxa"/>
          </w:tcPr>
          <w:p w14:paraId="4631F28E">
            <w:pPr>
              <w:rPr>
                <w:sz w:val="18"/>
                <w:szCs w:val="18"/>
              </w:rPr>
            </w:pPr>
            <w:r>
              <w:rPr>
                <w:sz w:val="18"/>
                <w:szCs w:val="18"/>
              </w:rPr>
              <w:t>(18.51)</w:t>
            </w:r>
          </w:p>
        </w:tc>
        <w:tc>
          <w:tcPr>
            <w:tcW w:w="829" w:type="dxa"/>
          </w:tcPr>
          <w:p w14:paraId="05331A90">
            <w:pPr>
              <w:rPr>
                <w:sz w:val="18"/>
                <w:szCs w:val="18"/>
              </w:rPr>
            </w:pPr>
            <w:r>
              <w:rPr>
                <w:sz w:val="18"/>
                <w:szCs w:val="18"/>
              </w:rPr>
              <w:t>(12.07)</w:t>
            </w:r>
          </w:p>
        </w:tc>
        <w:tc>
          <w:tcPr>
            <w:tcW w:w="829" w:type="dxa"/>
          </w:tcPr>
          <w:p w14:paraId="148ECC26">
            <w:pPr>
              <w:rPr>
                <w:sz w:val="18"/>
                <w:szCs w:val="18"/>
              </w:rPr>
            </w:pPr>
            <w:r>
              <w:rPr>
                <w:sz w:val="18"/>
                <w:szCs w:val="18"/>
              </w:rPr>
              <w:t>(5.40)</w:t>
            </w:r>
          </w:p>
        </w:tc>
        <w:tc>
          <w:tcPr>
            <w:tcW w:w="829" w:type="dxa"/>
          </w:tcPr>
          <w:p w14:paraId="453A8C5F">
            <w:pPr>
              <w:rPr>
                <w:sz w:val="18"/>
                <w:szCs w:val="18"/>
              </w:rPr>
            </w:pPr>
            <w:r>
              <w:rPr>
                <w:sz w:val="18"/>
                <w:szCs w:val="18"/>
              </w:rPr>
              <w:t xml:space="preserve">0.00 </w:t>
            </w:r>
          </w:p>
        </w:tc>
        <w:tc>
          <w:tcPr>
            <w:tcW w:w="829" w:type="dxa"/>
          </w:tcPr>
          <w:p w14:paraId="7227E5AF">
            <w:pPr>
              <w:rPr>
                <w:sz w:val="18"/>
                <w:szCs w:val="18"/>
              </w:rPr>
            </w:pPr>
            <w:r>
              <w:rPr>
                <w:sz w:val="18"/>
                <w:szCs w:val="18"/>
              </w:rPr>
              <w:t xml:space="preserve">0.00 </w:t>
            </w:r>
          </w:p>
        </w:tc>
        <w:tc>
          <w:tcPr>
            <w:tcW w:w="829" w:type="dxa"/>
          </w:tcPr>
          <w:p w14:paraId="7FA36E38">
            <w:pPr>
              <w:rPr>
                <w:sz w:val="18"/>
                <w:szCs w:val="18"/>
              </w:rPr>
            </w:pPr>
            <w:r>
              <w:rPr>
                <w:sz w:val="18"/>
                <w:szCs w:val="18"/>
              </w:rPr>
              <w:t xml:space="preserve">0.00 </w:t>
            </w:r>
          </w:p>
        </w:tc>
        <w:tc>
          <w:tcPr>
            <w:tcW w:w="829" w:type="dxa"/>
          </w:tcPr>
          <w:p w14:paraId="3BC86017">
            <w:pPr>
              <w:rPr>
                <w:sz w:val="18"/>
                <w:szCs w:val="18"/>
              </w:rPr>
            </w:pPr>
            <w:r>
              <w:rPr>
                <w:sz w:val="18"/>
                <w:szCs w:val="18"/>
              </w:rPr>
              <w:t xml:space="preserve">6.30 </w:t>
            </w:r>
          </w:p>
        </w:tc>
        <w:tc>
          <w:tcPr>
            <w:tcW w:w="826" w:type="dxa"/>
          </w:tcPr>
          <w:p w14:paraId="111B350A">
            <w:pPr>
              <w:rPr>
                <w:sz w:val="18"/>
                <w:szCs w:val="18"/>
              </w:rPr>
            </w:pPr>
            <w:r>
              <w:rPr>
                <w:sz w:val="18"/>
                <w:szCs w:val="18"/>
              </w:rPr>
              <w:t xml:space="preserve">31.73 </w:t>
            </w:r>
          </w:p>
        </w:tc>
        <w:tc>
          <w:tcPr>
            <w:tcW w:w="826" w:type="dxa"/>
          </w:tcPr>
          <w:p w14:paraId="5BCE7C93">
            <w:pPr>
              <w:rPr>
                <w:sz w:val="18"/>
                <w:szCs w:val="18"/>
              </w:rPr>
            </w:pPr>
            <w:r>
              <w:rPr>
                <w:sz w:val="18"/>
                <w:szCs w:val="18"/>
              </w:rPr>
              <w:t xml:space="preserve">39.98 </w:t>
            </w:r>
          </w:p>
        </w:tc>
        <w:tc>
          <w:tcPr>
            <w:tcW w:w="826" w:type="dxa"/>
          </w:tcPr>
          <w:p w14:paraId="1B8DF93C">
            <w:pPr>
              <w:rPr>
                <w:sz w:val="18"/>
                <w:szCs w:val="18"/>
              </w:rPr>
            </w:pPr>
            <w:r>
              <w:rPr>
                <w:sz w:val="18"/>
                <w:szCs w:val="18"/>
              </w:rPr>
              <w:t xml:space="preserve">48.53 </w:t>
            </w:r>
          </w:p>
        </w:tc>
        <w:tc>
          <w:tcPr>
            <w:tcW w:w="826" w:type="dxa"/>
          </w:tcPr>
          <w:p w14:paraId="309F2081">
            <w:pPr>
              <w:rPr>
                <w:sz w:val="18"/>
                <w:szCs w:val="18"/>
              </w:rPr>
            </w:pPr>
            <w:r>
              <w:rPr>
                <w:sz w:val="18"/>
                <w:szCs w:val="18"/>
              </w:rPr>
              <w:t xml:space="preserve">57.38 </w:t>
            </w:r>
          </w:p>
        </w:tc>
        <w:tc>
          <w:tcPr>
            <w:tcW w:w="826" w:type="dxa"/>
          </w:tcPr>
          <w:p w14:paraId="63AEC70F">
            <w:pPr>
              <w:rPr>
                <w:sz w:val="18"/>
                <w:szCs w:val="18"/>
              </w:rPr>
            </w:pPr>
            <w:r>
              <w:rPr>
                <w:sz w:val="18"/>
                <w:szCs w:val="18"/>
              </w:rPr>
              <w:t xml:space="preserve">66.55 </w:t>
            </w:r>
          </w:p>
        </w:tc>
        <w:tc>
          <w:tcPr>
            <w:tcW w:w="826" w:type="dxa"/>
          </w:tcPr>
          <w:p w14:paraId="43176E41">
            <w:pPr>
              <w:rPr>
                <w:sz w:val="18"/>
                <w:szCs w:val="18"/>
              </w:rPr>
            </w:pPr>
            <w:r>
              <w:rPr>
                <w:sz w:val="18"/>
                <w:szCs w:val="18"/>
              </w:rPr>
              <w:t xml:space="preserve">76.05 </w:t>
            </w:r>
          </w:p>
        </w:tc>
      </w:tr>
      <w:tr w14:paraId="7E21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14:paraId="073EF1B4">
            <w:pPr>
              <w:rPr>
                <w:sz w:val="18"/>
                <w:szCs w:val="18"/>
              </w:rPr>
            </w:pPr>
            <w:r>
              <w:rPr>
                <w:sz w:val="18"/>
                <w:szCs w:val="18"/>
              </w:rPr>
              <w:t>10</w:t>
            </w:r>
          </w:p>
        </w:tc>
        <w:tc>
          <w:tcPr>
            <w:tcW w:w="1163" w:type="dxa"/>
          </w:tcPr>
          <w:p w14:paraId="14CB3FB7">
            <w:pPr>
              <w:rPr>
                <w:sz w:val="18"/>
                <w:szCs w:val="18"/>
              </w:rPr>
            </w:pPr>
            <w:r>
              <w:rPr>
                <w:rFonts w:hint="eastAsia"/>
                <w:sz w:val="18"/>
                <w:szCs w:val="18"/>
              </w:rPr>
              <w:t>所得税</w:t>
            </w:r>
          </w:p>
        </w:tc>
        <w:tc>
          <w:tcPr>
            <w:tcW w:w="829" w:type="dxa"/>
          </w:tcPr>
          <w:p w14:paraId="5458013B">
            <w:pPr>
              <w:rPr>
                <w:sz w:val="18"/>
                <w:szCs w:val="18"/>
              </w:rPr>
            </w:pPr>
            <w:r>
              <w:rPr>
                <w:sz w:val="18"/>
                <w:szCs w:val="18"/>
              </w:rPr>
              <w:t xml:space="preserve">0.00 </w:t>
            </w:r>
          </w:p>
        </w:tc>
        <w:tc>
          <w:tcPr>
            <w:tcW w:w="829" w:type="dxa"/>
          </w:tcPr>
          <w:p w14:paraId="4F3425A6">
            <w:pPr>
              <w:rPr>
                <w:sz w:val="18"/>
                <w:szCs w:val="18"/>
              </w:rPr>
            </w:pPr>
            <w:r>
              <w:rPr>
                <w:sz w:val="18"/>
                <w:szCs w:val="18"/>
              </w:rPr>
              <w:t xml:space="preserve">0.00 </w:t>
            </w:r>
          </w:p>
        </w:tc>
        <w:tc>
          <w:tcPr>
            <w:tcW w:w="829" w:type="dxa"/>
          </w:tcPr>
          <w:p w14:paraId="1E953CC1">
            <w:pPr>
              <w:rPr>
                <w:sz w:val="18"/>
                <w:szCs w:val="18"/>
              </w:rPr>
            </w:pPr>
            <w:r>
              <w:rPr>
                <w:sz w:val="18"/>
                <w:szCs w:val="18"/>
              </w:rPr>
              <w:t xml:space="preserve">0.00 </w:t>
            </w:r>
          </w:p>
        </w:tc>
        <w:tc>
          <w:tcPr>
            <w:tcW w:w="829" w:type="dxa"/>
          </w:tcPr>
          <w:p w14:paraId="5E487DB8">
            <w:pPr>
              <w:rPr>
                <w:sz w:val="18"/>
                <w:szCs w:val="18"/>
              </w:rPr>
            </w:pPr>
            <w:r>
              <w:rPr>
                <w:sz w:val="18"/>
                <w:szCs w:val="18"/>
              </w:rPr>
              <w:t xml:space="preserve">0.00 </w:t>
            </w:r>
          </w:p>
        </w:tc>
        <w:tc>
          <w:tcPr>
            <w:tcW w:w="829" w:type="dxa"/>
          </w:tcPr>
          <w:p w14:paraId="1E0BF23C">
            <w:pPr>
              <w:rPr>
                <w:sz w:val="18"/>
                <w:szCs w:val="18"/>
              </w:rPr>
            </w:pPr>
            <w:r>
              <w:rPr>
                <w:sz w:val="18"/>
                <w:szCs w:val="18"/>
              </w:rPr>
              <w:t xml:space="preserve">0.00 </w:t>
            </w:r>
          </w:p>
        </w:tc>
        <w:tc>
          <w:tcPr>
            <w:tcW w:w="829" w:type="dxa"/>
          </w:tcPr>
          <w:p w14:paraId="4B589AF9">
            <w:pPr>
              <w:rPr>
                <w:sz w:val="18"/>
                <w:szCs w:val="18"/>
              </w:rPr>
            </w:pPr>
            <w:r>
              <w:rPr>
                <w:sz w:val="18"/>
                <w:szCs w:val="18"/>
              </w:rPr>
              <w:t xml:space="preserve">0.00 </w:t>
            </w:r>
          </w:p>
        </w:tc>
        <w:tc>
          <w:tcPr>
            <w:tcW w:w="829" w:type="dxa"/>
          </w:tcPr>
          <w:p w14:paraId="213E1E9F">
            <w:pPr>
              <w:rPr>
                <w:sz w:val="18"/>
                <w:szCs w:val="18"/>
              </w:rPr>
            </w:pPr>
            <w:r>
              <w:rPr>
                <w:sz w:val="18"/>
                <w:szCs w:val="18"/>
              </w:rPr>
              <w:t xml:space="preserve">0.00 </w:t>
            </w:r>
          </w:p>
        </w:tc>
        <w:tc>
          <w:tcPr>
            <w:tcW w:w="829" w:type="dxa"/>
          </w:tcPr>
          <w:p w14:paraId="67297D45">
            <w:pPr>
              <w:rPr>
                <w:sz w:val="18"/>
                <w:szCs w:val="18"/>
              </w:rPr>
            </w:pPr>
            <w:r>
              <w:rPr>
                <w:sz w:val="18"/>
                <w:szCs w:val="18"/>
              </w:rPr>
              <w:t xml:space="preserve">0.00 </w:t>
            </w:r>
          </w:p>
        </w:tc>
        <w:tc>
          <w:tcPr>
            <w:tcW w:w="829" w:type="dxa"/>
          </w:tcPr>
          <w:p w14:paraId="3DB7B328">
            <w:pPr>
              <w:rPr>
                <w:sz w:val="18"/>
                <w:szCs w:val="18"/>
              </w:rPr>
            </w:pPr>
            <w:r>
              <w:rPr>
                <w:sz w:val="18"/>
                <w:szCs w:val="18"/>
              </w:rPr>
              <w:t xml:space="preserve">1.58 </w:t>
            </w:r>
          </w:p>
        </w:tc>
        <w:tc>
          <w:tcPr>
            <w:tcW w:w="826" w:type="dxa"/>
          </w:tcPr>
          <w:p w14:paraId="4B60DF5F">
            <w:pPr>
              <w:rPr>
                <w:sz w:val="18"/>
                <w:szCs w:val="18"/>
              </w:rPr>
            </w:pPr>
            <w:r>
              <w:rPr>
                <w:sz w:val="18"/>
                <w:szCs w:val="18"/>
              </w:rPr>
              <w:t xml:space="preserve">7.93 </w:t>
            </w:r>
          </w:p>
        </w:tc>
        <w:tc>
          <w:tcPr>
            <w:tcW w:w="826" w:type="dxa"/>
          </w:tcPr>
          <w:p w14:paraId="5E66112F">
            <w:pPr>
              <w:rPr>
                <w:sz w:val="18"/>
                <w:szCs w:val="18"/>
              </w:rPr>
            </w:pPr>
            <w:r>
              <w:rPr>
                <w:sz w:val="18"/>
                <w:szCs w:val="18"/>
              </w:rPr>
              <w:t xml:space="preserve">10.00 </w:t>
            </w:r>
          </w:p>
        </w:tc>
        <w:tc>
          <w:tcPr>
            <w:tcW w:w="826" w:type="dxa"/>
          </w:tcPr>
          <w:p w14:paraId="0CAE1178">
            <w:pPr>
              <w:rPr>
                <w:sz w:val="18"/>
                <w:szCs w:val="18"/>
              </w:rPr>
            </w:pPr>
            <w:r>
              <w:rPr>
                <w:sz w:val="18"/>
                <w:szCs w:val="18"/>
              </w:rPr>
              <w:t xml:space="preserve">12.13 </w:t>
            </w:r>
          </w:p>
        </w:tc>
        <w:tc>
          <w:tcPr>
            <w:tcW w:w="826" w:type="dxa"/>
          </w:tcPr>
          <w:p w14:paraId="0CE0D076">
            <w:pPr>
              <w:rPr>
                <w:sz w:val="18"/>
                <w:szCs w:val="18"/>
              </w:rPr>
            </w:pPr>
            <w:r>
              <w:rPr>
                <w:sz w:val="18"/>
                <w:szCs w:val="18"/>
              </w:rPr>
              <w:t xml:space="preserve">14.35 </w:t>
            </w:r>
          </w:p>
        </w:tc>
        <w:tc>
          <w:tcPr>
            <w:tcW w:w="826" w:type="dxa"/>
          </w:tcPr>
          <w:p w14:paraId="27A9E442">
            <w:pPr>
              <w:rPr>
                <w:sz w:val="18"/>
                <w:szCs w:val="18"/>
              </w:rPr>
            </w:pPr>
            <w:r>
              <w:rPr>
                <w:sz w:val="18"/>
                <w:szCs w:val="18"/>
              </w:rPr>
              <w:t xml:space="preserve">16.64 </w:t>
            </w:r>
          </w:p>
        </w:tc>
        <w:tc>
          <w:tcPr>
            <w:tcW w:w="826" w:type="dxa"/>
          </w:tcPr>
          <w:p w14:paraId="3BA683F4">
            <w:pPr>
              <w:rPr>
                <w:sz w:val="18"/>
                <w:szCs w:val="18"/>
              </w:rPr>
            </w:pPr>
            <w:r>
              <w:rPr>
                <w:sz w:val="18"/>
                <w:szCs w:val="18"/>
              </w:rPr>
              <w:t xml:space="preserve">19.01 </w:t>
            </w:r>
          </w:p>
        </w:tc>
      </w:tr>
      <w:tr w14:paraId="465D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14:paraId="5E9EA141">
            <w:pPr>
              <w:rPr>
                <w:sz w:val="18"/>
                <w:szCs w:val="18"/>
              </w:rPr>
            </w:pPr>
            <w:r>
              <w:rPr>
                <w:sz w:val="18"/>
                <w:szCs w:val="18"/>
              </w:rPr>
              <w:t>11</w:t>
            </w:r>
          </w:p>
        </w:tc>
        <w:tc>
          <w:tcPr>
            <w:tcW w:w="1163" w:type="dxa"/>
          </w:tcPr>
          <w:p w14:paraId="069D26E3">
            <w:pPr>
              <w:rPr>
                <w:sz w:val="18"/>
                <w:szCs w:val="18"/>
              </w:rPr>
            </w:pPr>
            <w:r>
              <w:rPr>
                <w:rFonts w:hint="eastAsia"/>
                <w:sz w:val="18"/>
                <w:szCs w:val="18"/>
              </w:rPr>
              <w:t>净利润</w:t>
            </w:r>
          </w:p>
        </w:tc>
        <w:tc>
          <w:tcPr>
            <w:tcW w:w="829" w:type="dxa"/>
          </w:tcPr>
          <w:p w14:paraId="55E997FF">
            <w:pPr>
              <w:rPr>
                <w:sz w:val="18"/>
                <w:szCs w:val="18"/>
              </w:rPr>
            </w:pPr>
            <w:r>
              <w:rPr>
                <w:sz w:val="18"/>
                <w:szCs w:val="18"/>
              </w:rPr>
              <w:t>(30.73)</w:t>
            </w:r>
          </w:p>
        </w:tc>
        <w:tc>
          <w:tcPr>
            <w:tcW w:w="829" w:type="dxa"/>
          </w:tcPr>
          <w:p w14:paraId="7D79010D">
            <w:pPr>
              <w:rPr>
                <w:sz w:val="18"/>
                <w:szCs w:val="18"/>
              </w:rPr>
            </w:pPr>
            <w:r>
              <w:rPr>
                <w:sz w:val="18"/>
                <w:szCs w:val="18"/>
              </w:rPr>
              <w:t>(24.73)</w:t>
            </w:r>
          </w:p>
        </w:tc>
        <w:tc>
          <w:tcPr>
            <w:tcW w:w="829" w:type="dxa"/>
          </w:tcPr>
          <w:p w14:paraId="262A53C0">
            <w:pPr>
              <w:rPr>
                <w:sz w:val="18"/>
                <w:szCs w:val="18"/>
              </w:rPr>
            </w:pPr>
            <w:r>
              <w:rPr>
                <w:sz w:val="18"/>
                <w:szCs w:val="18"/>
              </w:rPr>
              <w:t>(18.51)</w:t>
            </w:r>
          </w:p>
        </w:tc>
        <w:tc>
          <w:tcPr>
            <w:tcW w:w="829" w:type="dxa"/>
          </w:tcPr>
          <w:p w14:paraId="40DBA253">
            <w:pPr>
              <w:rPr>
                <w:sz w:val="18"/>
                <w:szCs w:val="18"/>
              </w:rPr>
            </w:pPr>
            <w:r>
              <w:rPr>
                <w:sz w:val="18"/>
                <w:szCs w:val="18"/>
              </w:rPr>
              <w:t>(12.07)</w:t>
            </w:r>
          </w:p>
        </w:tc>
        <w:tc>
          <w:tcPr>
            <w:tcW w:w="829" w:type="dxa"/>
          </w:tcPr>
          <w:p w14:paraId="44EF1F1F">
            <w:pPr>
              <w:rPr>
                <w:sz w:val="18"/>
                <w:szCs w:val="18"/>
              </w:rPr>
            </w:pPr>
            <w:r>
              <w:rPr>
                <w:sz w:val="18"/>
                <w:szCs w:val="18"/>
              </w:rPr>
              <w:t>(5.40)</w:t>
            </w:r>
          </w:p>
        </w:tc>
        <w:tc>
          <w:tcPr>
            <w:tcW w:w="829" w:type="dxa"/>
          </w:tcPr>
          <w:p w14:paraId="2489C15A">
            <w:pPr>
              <w:rPr>
                <w:sz w:val="18"/>
                <w:szCs w:val="18"/>
              </w:rPr>
            </w:pPr>
            <w:r>
              <w:rPr>
                <w:sz w:val="18"/>
                <w:szCs w:val="18"/>
              </w:rPr>
              <w:t xml:space="preserve">1.51 </w:t>
            </w:r>
          </w:p>
        </w:tc>
        <w:tc>
          <w:tcPr>
            <w:tcW w:w="829" w:type="dxa"/>
          </w:tcPr>
          <w:p w14:paraId="53CB7269">
            <w:pPr>
              <w:rPr>
                <w:sz w:val="18"/>
                <w:szCs w:val="18"/>
              </w:rPr>
            </w:pPr>
            <w:r>
              <w:rPr>
                <w:sz w:val="18"/>
                <w:szCs w:val="18"/>
              </w:rPr>
              <w:t xml:space="preserve">8.67 </w:t>
            </w:r>
          </w:p>
        </w:tc>
        <w:tc>
          <w:tcPr>
            <w:tcW w:w="829" w:type="dxa"/>
          </w:tcPr>
          <w:p w14:paraId="3EF10262">
            <w:pPr>
              <w:rPr>
                <w:sz w:val="18"/>
                <w:szCs w:val="18"/>
              </w:rPr>
            </w:pPr>
            <w:r>
              <w:rPr>
                <w:sz w:val="18"/>
                <w:szCs w:val="18"/>
              </w:rPr>
              <w:t xml:space="preserve">16.09 </w:t>
            </w:r>
          </w:p>
        </w:tc>
        <w:tc>
          <w:tcPr>
            <w:tcW w:w="829" w:type="dxa"/>
          </w:tcPr>
          <w:p w14:paraId="3EF53415">
            <w:pPr>
              <w:rPr>
                <w:sz w:val="18"/>
                <w:szCs w:val="18"/>
              </w:rPr>
            </w:pPr>
            <w:r>
              <w:rPr>
                <w:sz w:val="18"/>
                <w:szCs w:val="18"/>
              </w:rPr>
              <w:t xml:space="preserve">22.20 </w:t>
            </w:r>
          </w:p>
        </w:tc>
        <w:tc>
          <w:tcPr>
            <w:tcW w:w="826" w:type="dxa"/>
          </w:tcPr>
          <w:p w14:paraId="5FDBD23C">
            <w:pPr>
              <w:rPr>
                <w:sz w:val="18"/>
                <w:szCs w:val="18"/>
              </w:rPr>
            </w:pPr>
            <w:r>
              <w:rPr>
                <w:sz w:val="18"/>
                <w:szCs w:val="18"/>
              </w:rPr>
              <w:t xml:space="preserve">23.80 </w:t>
            </w:r>
          </w:p>
        </w:tc>
        <w:tc>
          <w:tcPr>
            <w:tcW w:w="826" w:type="dxa"/>
          </w:tcPr>
          <w:p w14:paraId="0F1D2204">
            <w:pPr>
              <w:rPr>
                <w:sz w:val="18"/>
                <w:szCs w:val="18"/>
              </w:rPr>
            </w:pPr>
            <w:r>
              <w:rPr>
                <w:sz w:val="18"/>
                <w:szCs w:val="18"/>
              </w:rPr>
              <w:t xml:space="preserve">29.99 </w:t>
            </w:r>
          </w:p>
        </w:tc>
        <w:tc>
          <w:tcPr>
            <w:tcW w:w="826" w:type="dxa"/>
          </w:tcPr>
          <w:p w14:paraId="6BAE9B3D">
            <w:pPr>
              <w:rPr>
                <w:sz w:val="18"/>
                <w:szCs w:val="18"/>
              </w:rPr>
            </w:pPr>
            <w:r>
              <w:rPr>
                <w:sz w:val="18"/>
                <w:szCs w:val="18"/>
              </w:rPr>
              <w:t xml:space="preserve">36.40 </w:t>
            </w:r>
          </w:p>
        </w:tc>
        <w:tc>
          <w:tcPr>
            <w:tcW w:w="826" w:type="dxa"/>
          </w:tcPr>
          <w:p w14:paraId="24865E4F">
            <w:pPr>
              <w:rPr>
                <w:sz w:val="18"/>
                <w:szCs w:val="18"/>
              </w:rPr>
            </w:pPr>
            <w:r>
              <w:rPr>
                <w:sz w:val="18"/>
                <w:szCs w:val="18"/>
              </w:rPr>
              <w:t xml:space="preserve">43.04 </w:t>
            </w:r>
          </w:p>
        </w:tc>
        <w:tc>
          <w:tcPr>
            <w:tcW w:w="826" w:type="dxa"/>
          </w:tcPr>
          <w:p w14:paraId="51DCCCF2">
            <w:pPr>
              <w:rPr>
                <w:sz w:val="18"/>
                <w:szCs w:val="18"/>
              </w:rPr>
            </w:pPr>
            <w:r>
              <w:rPr>
                <w:sz w:val="18"/>
                <w:szCs w:val="18"/>
              </w:rPr>
              <w:t xml:space="preserve">49.91 </w:t>
            </w:r>
          </w:p>
        </w:tc>
        <w:tc>
          <w:tcPr>
            <w:tcW w:w="826" w:type="dxa"/>
          </w:tcPr>
          <w:p w14:paraId="1EAF4E5C">
            <w:pPr>
              <w:rPr>
                <w:sz w:val="18"/>
                <w:szCs w:val="18"/>
              </w:rPr>
            </w:pPr>
            <w:r>
              <w:rPr>
                <w:sz w:val="18"/>
                <w:szCs w:val="18"/>
              </w:rPr>
              <w:t xml:space="preserve">57.04 </w:t>
            </w:r>
          </w:p>
        </w:tc>
      </w:tr>
    </w:tbl>
    <w:p w14:paraId="2E57DB6D">
      <w:pPr>
        <w:pStyle w:val="2"/>
      </w:pPr>
    </w:p>
    <w:p w14:paraId="6C44F869">
      <w:pPr>
        <w:pStyle w:val="2"/>
      </w:pPr>
      <w:r>
        <w:rPr>
          <w:rFonts w:hint="eastAsia"/>
        </w:rPr>
        <w:t>续上表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171"/>
        <w:gridCol w:w="827"/>
        <w:gridCol w:w="827"/>
        <w:gridCol w:w="827"/>
        <w:gridCol w:w="827"/>
        <w:gridCol w:w="827"/>
        <w:gridCol w:w="827"/>
        <w:gridCol w:w="827"/>
        <w:gridCol w:w="827"/>
        <w:gridCol w:w="827"/>
        <w:gridCol w:w="827"/>
        <w:gridCol w:w="827"/>
        <w:gridCol w:w="827"/>
        <w:gridCol w:w="827"/>
        <w:gridCol w:w="827"/>
        <w:gridCol w:w="827"/>
      </w:tblGrid>
      <w:tr w14:paraId="6226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1DBAB03A">
            <w:pPr>
              <w:rPr>
                <w:sz w:val="18"/>
                <w:szCs w:val="18"/>
              </w:rPr>
            </w:pPr>
            <w:r>
              <w:rPr>
                <w:rFonts w:hint="eastAsia"/>
                <w:sz w:val="18"/>
                <w:szCs w:val="18"/>
              </w:rPr>
              <w:t xml:space="preserve">序号 </w:t>
            </w:r>
          </w:p>
        </w:tc>
        <w:tc>
          <w:tcPr>
            <w:tcW w:w="1171" w:type="dxa"/>
            <w:vAlign w:val="center"/>
          </w:tcPr>
          <w:p w14:paraId="1E0758D2">
            <w:pPr>
              <w:rPr>
                <w:sz w:val="18"/>
                <w:szCs w:val="18"/>
              </w:rPr>
            </w:pPr>
            <w:r>
              <w:rPr>
                <w:rFonts w:hint="eastAsia"/>
                <w:sz w:val="18"/>
                <w:szCs w:val="18"/>
              </w:rPr>
              <w:t>运营年</w:t>
            </w:r>
          </w:p>
        </w:tc>
        <w:tc>
          <w:tcPr>
            <w:tcW w:w="827" w:type="dxa"/>
          </w:tcPr>
          <w:p w14:paraId="1AE7292A">
            <w:pPr>
              <w:jc w:val="center"/>
              <w:rPr>
                <w:sz w:val="18"/>
                <w:szCs w:val="18"/>
              </w:rPr>
            </w:pPr>
            <w:r>
              <w:rPr>
                <w:sz w:val="18"/>
                <w:szCs w:val="18"/>
              </w:rPr>
              <w:t>16</w:t>
            </w:r>
          </w:p>
        </w:tc>
        <w:tc>
          <w:tcPr>
            <w:tcW w:w="827" w:type="dxa"/>
          </w:tcPr>
          <w:p w14:paraId="3122DE91">
            <w:pPr>
              <w:jc w:val="center"/>
              <w:rPr>
                <w:sz w:val="18"/>
                <w:szCs w:val="18"/>
              </w:rPr>
            </w:pPr>
            <w:r>
              <w:rPr>
                <w:sz w:val="18"/>
                <w:szCs w:val="18"/>
              </w:rPr>
              <w:t>17</w:t>
            </w:r>
          </w:p>
        </w:tc>
        <w:tc>
          <w:tcPr>
            <w:tcW w:w="827" w:type="dxa"/>
          </w:tcPr>
          <w:p w14:paraId="21C11DE5">
            <w:pPr>
              <w:jc w:val="center"/>
              <w:rPr>
                <w:sz w:val="18"/>
                <w:szCs w:val="18"/>
              </w:rPr>
            </w:pPr>
            <w:r>
              <w:rPr>
                <w:sz w:val="18"/>
                <w:szCs w:val="18"/>
              </w:rPr>
              <w:t>18</w:t>
            </w:r>
          </w:p>
        </w:tc>
        <w:tc>
          <w:tcPr>
            <w:tcW w:w="827" w:type="dxa"/>
          </w:tcPr>
          <w:p w14:paraId="08A49D08">
            <w:pPr>
              <w:jc w:val="center"/>
              <w:rPr>
                <w:sz w:val="18"/>
                <w:szCs w:val="18"/>
              </w:rPr>
            </w:pPr>
            <w:r>
              <w:rPr>
                <w:sz w:val="18"/>
                <w:szCs w:val="18"/>
              </w:rPr>
              <w:t>19</w:t>
            </w:r>
          </w:p>
        </w:tc>
        <w:tc>
          <w:tcPr>
            <w:tcW w:w="827" w:type="dxa"/>
          </w:tcPr>
          <w:p w14:paraId="2E28F048">
            <w:pPr>
              <w:jc w:val="center"/>
              <w:rPr>
                <w:sz w:val="18"/>
                <w:szCs w:val="18"/>
              </w:rPr>
            </w:pPr>
            <w:r>
              <w:rPr>
                <w:sz w:val="18"/>
                <w:szCs w:val="18"/>
              </w:rPr>
              <w:t>20</w:t>
            </w:r>
          </w:p>
        </w:tc>
        <w:tc>
          <w:tcPr>
            <w:tcW w:w="827" w:type="dxa"/>
          </w:tcPr>
          <w:p w14:paraId="7396D2B8">
            <w:pPr>
              <w:jc w:val="center"/>
              <w:rPr>
                <w:sz w:val="18"/>
                <w:szCs w:val="18"/>
              </w:rPr>
            </w:pPr>
            <w:r>
              <w:rPr>
                <w:sz w:val="18"/>
                <w:szCs w:val="18"/>
              </w:rPr>
              <w:t>21</w:t>
            </w:r>
          </w:p>
        </w:tc>
        <w:tc>
          <w:tcPr>
            <w:tcW w:w="827" w:type="dxa"/>
          </w:tcPr>
          <w:p w14:paraId="7C1ED181">
            <w:pPr>
              <w:jc w:val="center"/>
              <w:rPr>
                <w:sz w:val="18"/>
                <w:szCs w:val="18"/>
              </w:rPr>
            </w:pPr>
            <w:r>
              <w:rPr>
                <w:sz w:val="18"/>
                <w:szCs w:val="18"/>
              </w:rPr>
              <w:t>22</w:t>
            </w:r>
          </w:p>
        </w:tc>
        <w:tc>
          <w:tcPr>
            <w:tcW w:w="827" w:type="dxa"/>
          </w:tcPr>
          <w:p w14:paraId="45583B06">
            <w:pPr>
              <w:jc w:val="center"/>
              <w:rPr>
                <w:sz w:val="18"/>
                <w:szCs w:val="18"/>
              </w:rPr>
            </w:pPr>
            <w:r>
              <w:rPr>
                <w:sz w:val="18"/>
                <w:szCs w:val="18"/>
              </w:rPr>
              <w:t>23</w:t>
            </w:r>
          </w:p>
        </w:tc>
        <w:tc>
          <w:tcPr>
            <w:tcW w:w="827" w:type="dxa"/>
          </w:tcPr>
          <w:p w14:paraId="64DD2414">
            <w:pPr>
              <w:jc w:val="center"/>
              <w:rPr>
                <w:sz w:val="18"/>
                <w:szCs w:val="18"/>
              </w:rPr>
            </w:pPr>
            <w:r>
              <w:rPr>
                <w:sz w:val="18"/>
                <w:szCs w:val="18"/>
              </w:rPr>
              <w:t>24</w:t>
            </w:r>
          </w:p>
        </w:tc>
        <w:tc>
          <w:tcPr>
            <w:tcW w:w="827" w:type="dxa"/>
          </w:tcPr>
          <w:p w14:paraId="12BDF75F">
            <w:pPr>
              <w:jc w:val="center"/>
              <w:rPr>
                <w:sz w:val="18"/>
                <w:szCs w:val="18"/>
              </w:rPr>
            </w:pPr>
            <w:r>
              <w:rPr>
                <w:sz w:val="18"/>
                <w:szCs w:val="18"/>
              </w:rPr>
              <w:t>25</w:t>
            </w:r>
          </w:p>
        </w:tc>
        <w:tc>
          <w:tcPr>
            <w:tcW w:w="827" w:type="dxa"/>
          </w:tcPr>
          <w:p w14:paraId="1CC7C4C4">
            <w:pPr>
              <w:jc w:val="center"/>
              <w:rPr>
                <w:sz w:val="18"/>
                <w:szCs w:val="18"/>
              </w:rPr>
            </w:pPr>
            <w:r>
              <w:rPr>
                <w:sz w:val="18"/>
                <w:szCs w:val="18"/>
              </w:rPr>
              <w:t>26</w:t>
            </w:r>
          </w:p>
        </w:tc>
        <w:tc>
          <w:tcPr>
            <w:tcW w:w="827" w:type="dxa"/>
          </w:tcPr>
          <w:p w14:paraId="36D45118">
            <w:pPr>
              <w:jc w:val="center"/>
              <w:rPr>
                <w:sz w:val="18"/>
                <w:szCs w:val="18"/>
              </w:rPr>
            </w:pPr>
            <w:r>
              <w:rPr>
                <w:sz w:val="18"/>
                <w:szCs w:val="18"/>
              </w:rPr>
              <w:t>27</w:t>
            </w:r>
          </w:p>
        </w:tc>
        <w:tc>
          <w:tcPr>
            <w:tcW w:w="827" w:type="dxa"/>
          </w:tcPr>
          <w:p w14:paraId="0A37E0E9">
            <w:pPr>
              <w:jc w:val="center"/>
              <w:rPr>
                <w:sz w:val="18"/>
                <w:szCs w:val="18"/>
              </w:rPr>
            </w:pPr>
            <w:r>
              <w:rPr>
                <w:sz w:val="18"/>
                <w:szCs w:val="18"/>
              </w:rPr>
              <w:t>28</w:t>
            </w:r>
          </w:p>
        </w:tc>
        <w:tc>
          <w:tcPr>
            <w:tcW w:w="827" w:type="dxa"/>
          </w:tcPr>
          <w:p w14:paraId="1CBC004C">
            <w:pPr>
              <w:jc w:val="center"/>
              <w:rPr>
                <w:sz w:val="18"/>
                <w:szCs w:val="18"/>
              </w:rPr>
            </w:pPr>
            <w:r>
              <w:rPr>
                <w:sz w:val="18"/>
                <w:szCs w:val="18"/>
              </w:rPr>
              <w:t>29</w:t>
            </w:r>
          </w:p>
        </w:tc>
        <w:tc>
          <w:tcPr>
            <w:tcW w:w="827" w:type="dxa"/>
          </w:tcPr>
          <w:p w14:paraId="7364192E">
            <w:pPr>
              <w:jc w:val="center"/>
              <w:rPr>
                <w:sz w:val="18"/>
                <w:szCs w:val="18"/>
              </w:rPr>
            </w:pPr>
            <w:r>
              <w:rPr>
                <w:sz w:val="18"/>
                <w:szCs w:val="18"/>
              </w:rPr>
              <w:t>30</w:t>
            </w:r>
          </w:p>
        </w:tc>
      </w:tr>
      <w:tr w14:paraId="3965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Pr>
          <w:p w14:paraId="0B93803D">
            <w:pPr>
              <w:rPr>
                <w:sz w:val="18"/>
                <w:szCs w:val="18"/>
              </w:rPr>
            </w:pPr>
            <w:r>
              <w:rPr>
                <w:sz w:val="18"/>
                <w:szCs w:val="18"/>
              </w:rPr>
              <w:t>1</w:t>
            </w:r>
          </w:p>
        </w:tc>
        <w:tc>
          <w:tcPr>
            <w:tcW w:w="1171" w:type="dxa"/>
          </w:tcPr>
          <w:p w14:paraId="34AB6473">
            <w:pPr>
              <w:rPr>
                <w:sz w:val="18"/>
                <w:szCs w:val="18"/>
              </w:rPr>
            </w:pPr>
            <w:r>
              <w:rPr>
                <w:rFonts w:hint="eastAsia"/>
                <w:sz w:val="18"/>
                <w:szCs w:val="18"/>
              </w:rPr>
              <w:t>营业收入（不含税）</w:t>
            </w:r>
          </w:p>
        </w:tc>
        <w:tc>
          <w:tcPr>
            <w:tcW w:w="827" w:type="dxa"/>
          </w:tcPr>
          <w:p w14:paraId="2E3963C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6AB56E2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4D4FDC7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0BC94BE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44707BE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2A4E619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1C022CA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1A76E95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5EE37C8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582E69B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079B782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725DAA7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0E6079F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26337BC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c>
          <w:tcPr>
            <w:tcW w:w="827" w:type="dxa"/>
          </w:tcPr>
          <w:p w14:paraId="2021527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866.98 </w:t>
            </w:r>
          </w:p>
        </w:tc>
      </w:tr>
      <w:tr w14:paraId="4537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Pr>
          <w:p w14:paraId="0CD59DA7">
            <w:pPr>
              <w:rPr>
                <w:sz w:val="18"/>
                <w:szCs w:val="18"/>
              </w:rPr>
            </w:pPr>
            <w:r>
              <w:rPr>
                <w:sz w:val="18"/>
                <w:szCs w:val="18"/>
              </w:rPr>
              <w:t>2</w:t>
            </w:r>
          </w:p>
        </w:tc>
        <w:tc>
          <w:tcPr>
            <w:tcW w:w="1171" w:type="dxa"/>
          </w:tcPr>
          <w:p w14:paraId="7A0DC098">
            <w:pPr>
              <w:rPr>
                <w:sz w:val="18"/>
                <w:szCs w:val="18"/>
              </w:rPr>
            </w:pPr>
            <w:r>
              <w:rPr>
                <w:rFonts w:hint="eastAsia"/>
                <w:sz w:val="18"/>
                <w:szCs w:val="18"/>
              </w:rPr>
              <w:t>税金及附加</w:t>
            </w:r>
          </w:p>
        </w:tc>
        <w:tc>
          <w:tcPr>
            <w:tcW w:w="827" w:type="dxa"/>
          </w:tcPr>
          <w:p w14:paraId="7CA2788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7FF605A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1C434C8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5CDAC84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5043313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3CC35BB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2DA1CAA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32E74BD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6E5570A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5ECF0EE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487ABCB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27A645F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30D7093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448A7AA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c>
          <w:tcPr>
            <w:tcW w:w="827" w:type="dxa"/>
          </w:tcPr>
          <w:p w14:paraId="0F90E89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3.41 </w:t>
            </w:r>
          </w:p>
        </w:tc>
      </w:tr>
      <w:tr w14:paraId="724E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Pr>
          <w:p w14:paraId="7CB55141">
            <w:pPr>
              <w:rPr>
                <w:sz w:val="18"/>
                <w:szCs w:val="18"/>
              </w:rPr>
            </w:pPr>
            <w:r>
              <w:rPr>
                <w:sz w:val="18"/>
                <w:szCs w:val="18"/>
              </w:rPr>
              <w:t>3</w:t>
            </w:r>
          </w:p>
        </w:tc>
        <w:tc>
          <w:tcPr>
            <w:tcW w:w="1171" w:type="dxa"/>
          </w:tcPr>
          <w:p w14:paraId="52FB14DC">
            <w:pPr>
              <w:rPr>
                <w:sz w:val="18"/>
                <w:szCs w:val="18"/>
              </w:rPr>
            </w:pPr>
            <w:r>
              <w:rPr>
                <w:rFonts w:hint="eastAsia"/>
                <w:sz w:val="18"/>
                <w:szCs w:val="18"/>
              </w:rPr>
              <w:t>退税</w:t>
            </w:r>
          </w:p>
        </w:tc>
        <w:tc>
          <w:tcPr>
            <w:tcW w:w="827" w:type="dxa"/>
          </w:tcPr>
          <w:p w14:paraId="055C2BA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3C0305C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5B00620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38BE7B9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7E992FA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55C59F3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1979C58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6F9C20B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539EECC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12EF983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0CAE653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196DF1E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29E52B18">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57B2EFD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c>
          <w:tcPr>
            <w:tcW w:w="827" w:type="dxa"/>
          </w:tcPr>
          <w:p w14:paraId="06A7E6D2">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19.92 </w:t>
            </w:r>
          </w:p>
        </w:tc>
      </w:tr>
      <w:tr w14:paraId="68B6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Pr>
          <w:p w14:paraId="531C5026">
            <w:pPr>
              <w:rPr>
                <w:sz w:val="18"/>
                <w:szCs w:val="18"/>
              </w:rPr>
            </w:pPr>
            <w:r>
              <w:rPr>
                <w:sz w:val="18"/>
                <w:szCs w:val="18"/>
              </w:rPr>
              <w:t>4</w:t>
            </w:r>
          </w:p>
        </w:tc>
        <w:tc>
          <w:tcPr>
            <w:tcW w:w="1171" w:type="dxa"/>
          </w:tcPr>
          <w:p w14:paraId="003B998D">
            <w:pPr>
              <w:rPr>
                <w:sz w:val="18"/>
                <w:szCs w:val="18"/>
              </w:rPr>
            </w:pPr>
            <w:r>
              <w:rPr>
                <w:rFonts w:hint="eastAsia"/>
                <w:sz w:val="18"/>
                <w:szCs w:val="18"/>
              </w:rPr>
              <w:t>总成本费用（不含税）</w:t>
            </w:r>
          </w:p>
        </w:tc>
        <w:tc>
          <w:tcPr>
            <w:tcW w:w="827" w:type="dxa"/>
          </w:tcPr>
          <w:p w14:paraId="097E5E3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797.59 </w:t>
            </w:r>
          </w:p>
        </w:tc>
        <w:tc>
          <w:tcPr>
            <w:tcW w:w="827" w:type="dxa"/>
          </w:tcPr>
          <w:p w14:paraId="4FF1FD7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787.39 </w:t>
            </w:r>
          </w:p>
        </w:tc>
        <w:tc>
          <w:tcPr>
            <w:tcW w:w="827" w:type="dxa"/>
          </w:tcPr>
          <w:p w14:paraId="1196768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776.83 </w:t>
            </w:r>
          </w:p>
        </w:tc>
        <w:tc>
          <w:tcPr>
            <w:tcW w:w="827" w:type="dxa"/>
          </w:tcPr>
          <w:p w14:paraId="544DC03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765.88 </w:t>
            </w:r>
          </w:p>
        </w:tc>
        <w:tc>
          <w:tcPr>
            <w:tcW w:w="827" w:type="dxa"/>
          </w:tcPr>
          <w:p w14:paraId="45D4713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754.54 </w:t>
            </w:r>
          </w:p>
        </w:tc>
        <w:tc>
          <w:tcPr>
            <w:tcW w:w="827" w:type="dxa"/>
          </w:tcPr>
          <w:p w14:paraId="02077C3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742.79 </w:t>
            </w:r>
          </w:p>
        </w:tc>
        <w:tc>
          <w:tcPr>
            <w:tcW w:w="827" w:type="dxa"/>
          </w:tcPr>
          <w:p w14:paraId="7435C0F1">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730.62 </w:t>
            </w:r>
          </w:p>
        </w:tc>
        <w:tc>
          <w:tcPr>
            <w:tcW w:w="827" w:type="dxa"/>
          </w:tcPr>
          <w:p w14:paraId="4D37D1C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718.01 </w:t>
            </w:r>
          </w:p>
        </w:tc>
        <w:tc>
          <w:tcPr>
            <w:tcW w:w="827" w:type="dxa"/>
          </w:tcPr>
          <w:p w14:paraId="7177327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704.95 </w:t>
            </w:r>
          </w:p>
        </w:tc>
        <w:tc>
          <w:tcPr>
            <w:tcW w:w="827" w:type="dxa"/>
          </w:tcPr>
          <w:p w14:paraId="04D87034">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691.42 </w:t>
            </w:r>
          </w:p>
        </w:tc>
        <w:tc>
          <w:tcPr>
            <w:tcW w:w="827" w:type="dxa"/>
          </w:tcPr>
          <w:p w14:paraId="7E55345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677.40 </w:t>
            </w:r>
          </w:p>
        </w:tc>
        <w:tc>
          <w:tcPr>
            <w:tcW w:w="827" w:type="dxa"/>
          </w:tcPr>
          <w:p w14:paraId="25C6937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662.87 </w:t>
            </w:r>
          </w:p>
        </w:tc>
        <w:tc>
          <w:tcPr>
            <w:tcW w:w="827" w:type="dxa"/>
          </w:tcPr>
          <w:p w14:paraId="4E14721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647.83 </w:t>
            </w:r>
          </w:p>
        </w:tc>
        <w:tc>
          <w:tcPr>
            <w:tcW w:w="827" w:type="dxa"/>
          </w:tcPr>
          <w:p w14:paraId="0169636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632.24 </w:t>
            </w:r>
          </w:p>
        </w:tc>
        <w:tc>
          <w:tcPr>
            <w:tcW w:w="827" w:type="dxa"/>
          </w:tcPr>
          <w:p w14:paraId="43171CB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616.09 </w:t>
            </w:r>
          </w:p>
        </w:tc>
      </w:tr>
      <w:tr w14:paraId="5696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Pr>
          <w:p w14:paraId="3A64B5FC">
            <w:pPr>
              <w:rPr>
                <w:sz w:val="18"/>
                <w:szCs w:val="18"/>
              </w:rPr>
            </w:pPr>
            <w:r>
              <w:rPr>
                <w:sz w:val="18"/>
                <w:szCs w:val="18"/>
              </w:rPr>
              <w:t>6</w:t>
            </w:r>
          </w:p>
        </w:tc>
        <w:tc>
          <w:tcPr>
            <w:tcW w:w="1171" w:type="dxa"/>
          </w:tcPr>
          <w:p w14:paraId="44A658FE">
            <w:pPr>
              <w:rPr>
                <w:sz w:val="18"/>
                <w:szCs w:val="18"/>
              </w:rPr>
            </w:pPr>
            <w:r>
              <w:rPr>
                <w:rFonts w:hint="eastAsia"/>
                <w:sz w:val="18"/>
                <w:szCs w:val="18"/>
              </w:rPr>
              <w:t>利润总额</w:t>
            </w:r>
          </w:p>
        </w:tc>
        <w:tc>
          <w:tcPr>
            <w:tcW w:w="827" w:type="dxa"/>
          </w:tcPr>
          <w:p w14:paraId="3CB0D6F3">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85.90 </w:t>
            </w:r>
          </w:p>
        </w:tc>
        <w:tc>
          <w:tcPr>
            <w:tcW w:w="827" w:type="dxa"/>
          </w:tcPr>
          <w:p w14:paraId="6732F77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96.09 </w:t>
            </w:r>
          </w:p>
        </w:tc>
        <w:tc>
          <w:tcPr>
            <w:tcW w:w="827" w:type="dxa"/>
          </w:tcPr>
          <w:p w14:paraId="294CDCF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106.66 </w:t>
            </w:r>
          </w:p>
        </w:tc>
        <w:tc>
          <w:tcPr>
            <w:tcW w:w="827" w:type="dxa"/>
          </w:tcPr>
          <w:p w14:paraId="04C49FF5">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117.60 </w:t>
            </w:r>
          </w:p>
        </w:tc>
        <w:tc>
          <w:tcPr>
            <w:tcW w:w="827" w:type="dxa"/>
          </w:tcPr>
          <w:p w14:paraId="0639396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128.94 </w:t>
            </w:r>
          </w:p>
        </w:tc>
        <w:tc>
          <w:tcPr>
            <w:tcW w:w="827" w:type="dxa"/>
          </w:tcPr>
          <w:p w14:paraId="5C5BA4CB">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140.69 </w:t>
            </w:r>
          </w:p>
        </w:tc>
        <w:tc>
          <w:tcPr>
            <w:tcW w:w="827" w:type="dxa"/>
          </w:tcPr>
          <w:p w14:paraId="42CDD610">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152.86 </w:t>
            </w:r>
          </w:p>
        </w:tc>
        <w:tc>
          <w:tcPr>
            <w:tcW w:w="827" w:type="dxa"/>
          </w:tcPr>
          <w:p w14:paraId="6D9A073D">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165.47 </w:t>
            </w:r>
          </w:p>
        </w:tc>
        <w:tc>
          <w:tcPr>
            <w:tcW w:w="827" w:type="dxa"/>
          </w:tcPr>
          <w:p w14:paraId="4914B0C9">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178.53 </w:t>
            </w:r>
          </w:p>
        </w:tc>
        <w:tc>
          <w:tcPr>
            <w:tcW w:w="827" w:type="dxa"/>
          </w:tcPr>
          <w:p w14:paraId="39CEF226">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192.07 </w:t>
            </w:r>
          </w:p>
        </w:tc>
        <w:tc>
          <w:tcPr>
            <w:tcW w:w="827" w:type="dxa"/>
          </w:tcPr>
          <w:p w14:paraId="532C818E">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206.09 </w:t>
            </w:r>
          </w:p>
        </w:tc>
        <w:tc>
          <w:tcPr>
            <w:tcW w:w="827" w:type="dxa"/>
          </w:tcPr>
          <w:p w14:paraId="6D73180C">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220.61 </w:t>
            </w:r>
          </w:p>
        </w:tc>
        <w:tc>
          <w:tcPr>
            <w:tcW w:w="827" w:type="dxa"/>
          </w:tcPr>
          <w:p w14:paraId="736E810A">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235.66 </w:t>
            </w:r>
          </w:p>
        </w:tc>
        <w:tc>
          <w:tcPr>
            <w:tcW w:w="827" w:type="dxa"/>
          </w:tcPr>
          <w:p w14:paraId="7159400F">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251.25 </w:t>
            </w:r>
          </w:p>
        </w:tc>
        <w:tc>
          <w:tcPr>
            <w:tcW w:w="827" w:type="dxa"/>
          </w:tcPr>
          <w:p w14:paraId="07FB8127">
            <w:pPr>
              <w:rPr>
                <w:rFonts w:ascii="Times New Roman Regular" w:hAnsi="Times New Roman Regular" w:cs="Times New Roman Regular"/>
                <w:color w:val="000000" w:themeColor="text1"/>
                <w:sz w:val="18"/>
                <w:szCs w:val="18"/>
                <w14:textFill>
                  <w14:solidFill>
                    <w14:schemeClr w14:val="tx1"/>
                  </w14:solidFill>
                </w14:textFill>
              </w:rPr>
            </w:pPr>
            <w:r>
              <w:rPr>
                <w:sz w:val="18"/>
                <w:szCs w:val="18"/>
              </w:rPr>
              <w:t xml:space="preserve">267.40 </w:t>
            </w:r>
          </w:p>
        </w:tc>
      </w:tr>
      <w:tr w14:paraId="4EFF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Pr>
          <w:p w14:paraId="65A637AD">
            <w:pPr>
              <w:rPr>
                <w:sz w:val="18"/>
                <w:szCs w:val="18"/>
              </w:rPr>
            </w:pPr>
            <w:r>
              <w:rPr>
                <w:sz w:val="18"/>
                <w:szCs w:val="18"/>
              </w:rPr>
              <w:t>7</w:t>
            </w:r>
          </w:p>
        </w:tc>
        <w:tc>
          <w:tcPr>
            <w:tcW w:w="1171" w:type="dxa"/>
          </w:tcPr>
          <w:p w14:paraId="34B2DFCF">
            <w:pPr>
              <w:rPr>
                <w:sz w:val="18"/>
                <w:szCs w:val="18"/>
              </w:rPr>
            </w:pPr>
            <w:r>
              <w:rPr>
                <w:rFonts w:hint="eastAsia"/>
                <w:sz w:val="18"/>
                <w:szCs w:val="18"/>
              </w:rPr>
              <w:t>弥补以前年度亏损</w:t>
            </w:r>
          </w:p>
        </w:tc>
        <w:tc>
          <w:tcPr>
            <w:tcW w:w="827" w:type="dxa"/>
          </w:tcPr>
          <w:p w14:paraId="4D40DA9F">
            <w:pPr>
              <w:rPr>
                <w:sz w:val="18"/>
                <w:szCs w:val="18"/>
              </w:rPr>
            </w:pPr>
            <w:r>
              <w:rPr>
                <w:sz w:val="18"/>
                <w:szCs w:val="18"/>
              </w:rPr>
              <w:t xml:space="preserve">0.00 </w:t>
            </w:r>
          </w:p>
        </w:tc>
        <w:tc>
          <w:tcPr>
            <w:tcW w:w="827" w:type="dxa"/>
          </w:tcPr>
          <w:p w14:paraId="4C0FD81C">
            <w:pPr>
              <w:rPr>
                <w:sz w:val="18"/>
                <w:szCs w:val="18"/>
              </w:rPr>
            </w:pPr>
            <w:r>
              <w:rPr>
                <w:sz w:val="18"/>
                <w:szCs w:val="18"/>
              </w:rPr>
              <w:t xml:space="preserve">0.00 </w:t>
            </w:r>
          </w:p>
        </w:tc>
        <w:tc>
          <w:tcPr>
            <w:tcW w:w="827" w:type="dxa"/>
          </w:tcPr>
          <w:p w14:paraId="16E2758D">
            <w:pPr>
              <w:rPr>
                <w:sz w:val="18"/>
                <w:szCs w:val="18"/>
              </w:rPr>
            </w:pPr>
            <w:r>
              <w:rPr>
                <w:sz w:val="18"/>
                <w:szCs w:val="18"/>
              </w:rPr>
              <w:t xml:space="preserve">0.00 </w:t>
            </w:r>
          </w:p>
        </w:tc>
        <w:tc>
          <w:tcPr>
            <w:tcW w:w="827" w:type="dxa"/>
          </w:tcPr>
          <w:p w14:paraId="08C471BA">
            <w:pPr>
              <w:rPr>
                <w:sz w:val="18"/>
                <w:szCs w:val="18"/>
              </w:rPr>
            </w:pPr>
            <w:r>
              <w:rPr>
                <w:sz w:val="18"/>
                <w:szCs w:val="18"/>
              </w:rPr>
              <w:t xml:space="preserve">0.00 </w:t>
            </w:r>
          </w:p>
        </w:tc>
        <w:tc>
          <w:tcPr>
            <w:tcW w:w="827" w:type="dxa"/>
          </w:tcPr>
          <w:p w14:paraId="734B9554">
            <w:pPr>
              <w:rPr>
                <w:sz w:val="18"/>
                <w:szCs w:val="18"/>
              </w:rPr>
            </w:pPr>
            <w:r>
              <w:rPr>
                <w:sz w:val="18"/>
                <w:szCs w:val="18"/>
              </w:rPr>
              <w:t xml:space="preserve">0.00 </w:t>
            </w:r>
          </w:p>
        </w:tc>
        <w:tc>
          <w:tcPr>
            <w:tcW w:w="827" w:type="dxa"/>
          </w:tcPr>
          <w:p w14:paraId="35ACB087">
            <w:pPr>
              <w:rPr>
                <w:sz w:val="18"/>
                <w:szCs w:val="18"/>
              </w:rPr>
            </w:pPr>
            <w:r>
              <w:rPr>
                <w:sz w:val="18"/>
                <w:szCs w:val="18"/>
              </w:rPr>
              <w:t xml:space="preserve">0.00 </w:t>
            </w:r>
          </w:p>
        </w:tc>
        <w:tc>
          <w:tcPr>
            <w:tcW w:w="827" w:type="dxa"/>
          </w:tcPr>
          <w:p w14:paraId="3CFCEC02">
            <w:pPr>
              <w:rPr>
                <w:sz w:val="18"/>
                <w:szCs w:val="18"/>
              </w:rPr>
            </w:pPr>
            <w:r>
              <w:rPr>
                <w:sz w:val="18"/>
                <w:szCs w:val="18"/>
              </w:rPr>
              <w:t xml:space="preserve">0.00 </w:t>
            </w:r>
          </w:p>
        </w:tc>
        <w:tc>
          <w:tcPr>
            <w:tcW w:w="827" w:type="dxa"/>
          </w:tcPr>
          <w:p w14:paraId="4DF6CEB6">
            <w:pPr>
              <w:rPr>
                <w:sz w:val="18"/>
                <w:szCs w:val="18"/>
              </w:rPr>
            </w:pPr>
            <w:r>
              <w:rPr>
                <w:sz w:val="18"/>
                <w:szCs w:val="18"/>
              </w:rPr>
              <w:t xml:space="preserve">0.00 </w:t>
            </w:r>
          </w:p>
        </w:tc>
        <w:tc>
          <w:tcPr>
            <w:tcW w:w="827" w:type="dxa"/>
          </w:tcPr>
          <w:p w14:paraId="1064E89F">
            <w:pPr>
              <w:rPr>
                <w:sz w:val="18"/>
                <w:szCs w:val="18"/>
              </w:rPr>
            </w:pPr>
            <w:r>
              <w:rPr>
                <w:sz w:val="18"/>
                <w:szCs w:val="18"/>
              </w:rPr>
              <w:t xml:space="preserve">0.00 </w:t>
            </w:r>
          </w:p>
        </w:tc>
        <w:tc>
          <w:tcPr>
            <w:tcW w:w="827" w:type="dxa"/>
          </w:tcPr>
          <w:p w14:paraId="0A3CE0B3">
            <w:pPr>
              <w:rPr>
                <w:sz w:val="18"/>
                <w:szCs w:val="18"/>
              </w:rPr>
            </w:pPr>
            <w:r>
              <w:rPr>
                <w:sz w:val="18"/>
                <w:szCs w:val="18"/>
              </w:rPr>
              <w:t xml:space="preserve">0.00 </w:t>
            </w:r>
          </w:p>
        </w:tc>
        <w:tc>
          <w:tcPr>
            <w:tcW w:w="827" w:type="dxa"/>
          </w:tcPr>
          <w:p w14:paraId="5C84EAB3">
            <w:pPr>
              <w:rPr>
                <w:sz w:val="18"/>
                <w:szCs w:val="18"/>
              </w:rPr>
            </w:pPr>
            <w:r>
              <w:rPr>
                <w:sz w:val="18"/>
                <w:szCs w:val="18"/>
              </w:rPr>
              <w:t xml:space="preserve">0.00 </w:t>
            </w:r>
          </w:p>
        </w:tc>
        <w:tc>
          <w:tcPr>
            <w:tcW w:w="827" w:type="dxa"/>
          </w:tcPr>
          <w:p w14:paraId="722CAD4A">
            <w:pPr>
              <w:rPr>
                <w:sz w:val="18"/>
                <w:szCs w:val="18"/>
              </w:rPr>
            </w:pPr>
            <w:r>
              <w:rPr>
                <w:sz w:val="18"/>
                <w:szCs w:val="18"/>
              </w:rPr>
              <w:t xml:space="preserve">0.00 </w:t>
            </w:r>
          </w:p>
        </w:tc>
        <w:tc>
          <w:tcPr>
            <w:tcW w:w="827" w:type="dxa"/>
          </w:tcPr>
          <w:p w14:paraId="3700EF09">
            <w:pPr>
              <w:rPr>
                <w:sz w:val="18"/>
                <w:szCs w:val="18"/>
              </w:rPr>
            </w:pPr>
            <w:r>
              <w:rPr>
                <w:sz w:val="18"/>
                <w:szCs w:val="18"/>
              </w:rPr>
              <w:t xml:space="preserve">0.00 </w:t>
            </w:r>
          </w:p>
        </w:tc>
        <w:tc>
          <w:tcPr>
            <w:tcW w:w="827" w:type="dxa"/>
          </w:tcPr>
          <w:p w14:paraId="39DF0F8D">
            <w:pPr>
              <w:rPr>
                <w:sz w:val="18"/>
                <w:szCs w:val="18"/>
              </w:rPr>
            </w:pPr>
            <w:r>
              <w:rPr>
                <w:sz w:val="18"/>
                <w:szCs w:val="18"/>
              </w:rPr>
              <w:t xml:space="preserve">0.00 </w:t>
            </w:r>
          </w:p>
        </w:tc>
        <w:tc>
          <w:tcPr>
            <w:tcW w:w="827" w:type="dxa"/>
          </w:tcPr>
          <w:p w14:paraId="3D64618D">
            <w:pPr>
              <w:rPr>
                <w:sz w:val="18"/>
                <w:szCs w:val="18"/>
              </w:rPr>
            </w:pPr>
            <w:r>
              <w:rPr>
                <w:sz w:val="18"/>
                <w:szCs w:val="18"/>
              </w:rPr>
              <w:t xml:space="preserve">0.00 </w:t>
            </w:r>
          </w:p>
        </w:tc>
      </w:tr>
      <w:tr w14:paraId="5C03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Pr>
          <w:p w14:paraId="2CF1B3B2">
            <w:pPr>
              <w:rPr>
                <w:sz w:val="18"/>
                <w:szCs w:val="18"/>
              </w:rPr>
            </w:pPr>
            <w:r>
              <w:rPr>
                <w:sz w:val="18"/>
                <w:szCs w:val="18"/>
              </w:rPr>
              <w:t>8</w:t>
            </w:r>
          </w:p>
        </w:tc>
        <w:tc>
          <w:tcPr>
            <w:tcW w:w="1171" w:type="dxa"/>
          </w:tcPr>
          <w:p w14:paraId="4F87900D">
            <w:pPr>
              <w:rPr>
                <w:sz w:val="18"/>
                <w:szCs w:val="18"/>
              </w:rPr>
            </w:pPr>
            <w:r>
              <w:rPr>
                <w:rFonts w:hint="eastAsia"/>
                <w:sz w:val="18"/>
                <w:szCs w:val="18"/>
              </w:rPr>
              <w:t>前5年未弥补亏损</w:t>
            </w:r>
          </w:p>
        </w:tc>
        <w:tc>
          <w:tcPr>
            <w:tcW w:w="827" w:type="dxa"/>
          </w:tcPr>
          <w:p w14:paraId="1EAE1B24">
            <w:pPr>
              <w:rPr>
                <w:sz w:val="18"/>
                <w:szCs w:val="18"/>
              </w:rPr>
            </w:pPr>
            <w:r>
              <w:rPr>
                <w:sz w:val="18"/>
                <w:szCs w:val="18"/>
              </w:rPr>
              <w:t xml:space="preserve">0.00 </w:t>
            </w:r>
          </w:p>
        </w:tc>
        <w:tc>
          <w:tcPr>
            <w:tcW w:w="827" w:type="dxa"/>
          </w:tcPr>
          <w:p w14:paraId="1853F472">
            <w:pPr>
              <w:rPr>
                <w:sz w:val="18"/>
                <w:szCs w:val="18"/>
              </w:rPr>
            </w:pPr>
            <w:r>
              <w:rPr>
                <w:sz w:val="18"/>
                <w:szCs w:val="18"/>
              </w:rPr>
              <w:t xml:space="preserve">0.00 </w:t>
            </w:r>
          </w:p>
        </w:tc>
        <w:tc>
          <w:tcPr>
            <w:tcW w:w="827" w:type="dxa"/>
          </w:tcPr>
          <w:p w14:paraId="67D56E03">
            <w:pPr>
              <w:rPr>
                <w:sz w:val="18"/>
                <w:szCs w:val="18"/>
              </w:rPr>
            </w:pPr>
            <w:r>
              <w:rPr>
                <w:sz w:val="18"/>
                <w:szCs w:val="18"/>
              </w:rPr>
              <w:t xml:space="preserve">0.00 </w:t>
            </w:r>
          </w:p>
        </w:tc>
        <w:tc>
          <w:tcPr>
            <w:tcW w:w="827" w:type="dxa"/>
          </w:tcPr>
          <w:p w14:paraId="01EA5690">
            <w:pPr>
              <w:rPr>
                <w:sz w:val="18"/>
                <w:szCs w:val="18"/>
              </w:rPr>
            </w:pPr>
            <w:r>
              <w:rPr>
                <w:sz w:val="18"/>
                <w:szCs w:val="18"/>
              </w:rPr>
              <w:t xml:space="preserve">0.00 </w:t>
            </w:r>
          </w:p>
        </w:tc>
        <w:tc>
          <w:tcPr>
            <w:tcW w:w="827" w:type="dxa"/>
          </w:tcPr>
          <w:p w14:paraId="16079441">
            <w:pPr>
              <w:rPr>
                <w:sz w:val="18"/>
                <w:szCs w:val="18"/>
              </w:rPr>
            </w:pPr>
            <w:r>
              <w:rPr>
                <w:sz w:val="18"/>
                <w:szCs w:val="18"/>
              </w:rPr>
              <w:t xml:space="preserve">0.00 </w:t>
            </w:r>
          </w:p>
        </w:tc>
        <w:tc>
          <w:tcPr>
            <w:tcW w:w="827" w:type="dxa"/>
          </w:tcPr>
          <w:p w14:paraId="3BCF2F19">
            <w:pPr>
              <w:rPr>
                <w:sz w:val="18"/>
                <w:szCs w:val="18"/>
              </w:rPr>
            </w:pPr>
            <w:r>
              <w:rPr>
                <w:sz w:val="18"/>
                <w:szCs w:val="18"/>
              </w:rPr>
              <w:t xml:space="preserve">0.00 </w:t>
            </w:r>
          </w:p>
        </w:tc>
        <w:tc>
          <w:tcPr>
            <w:tcW w:w="827" w:type="dxa"/>
          </w:tcPr>
          <w:p w14:paraId="164EA661">
            <w:pPr>
              <w:rPr>
                <w:sz w:val="18"/>
                <w:szCs w:val="18"/>
              </w:rPr>
            </w:pPr>
            <w:r>
              <w:rPr>
                <w:sz w:val="18"/>
                <w:szCs w:val="18"/>
              </w:rPr>
              <w:t xml:space="preserve">0.00 </w:t>
            </w:r>
          </w:p>
        </w:tc>
        <w:tc>
          <w:tcPr>
            <w:tcW w:w="827" w:type="dxa"/>
          </w:tcPr>
          <w:p w14:paraId="625197F9">
            <w:pPr>
              <w:rPr>
                <w:sz w:val="18"/>
                <w:szCs w:val="18"/>
              </w:rPr>
            </w:pPr>
            <w:r>
              <w:rPr>
                <w:sz w:val="18"/>
                <w:szCs w:val="18"/>
              </w:rPr>
              <w:t xml:space="preserve">0.00 </w:t>
            </w:r>
          </w:p>
        </w:tc>
        <w:tc>
          <w:tcPr>
            <w:tcW w:w="827" w:type="dxa"/>
          </w:tcPr>
          <w:p w14:paraId="6F402942">
            <w:pPr>
              <w:rPr>
                <w:sz w:val="18"/>
                <w:szCs w:val="18"/>
              </w:rPr>
            </w:pPr>
            <w:r>
              <w:rPr>
                <w:sz w:val="18"/>
                <w:szCs w:val="18"/>
              </w:rPr>
              <w:t xml:space="preserve">0.00 </w:t>
            </w:r>
          </w:p>
        </w:tc>
        <w:tc>
          <w:tcPr>
            <w:tcW w:w="827" w:type="dxa"/>
          </w:tcPr>
          <w:p w14:paraId="0B7BC835">
            <w:pPr>
              <w:rPr>
                <w:sz w:val="18"/>
                <w:szCs w:val="18"/>
              </w:rPr>
            </w:pPr>
            <w:r>
              <w:rPr>
                <w:sz w:val="18"/>
                <w:szCs w:val="18"/>
              </w:rPr>
              <w:t xml:space="preserve">0.00 </w:t>
            </w:r>
          </w:p>
        </w:tc>
        <w:tc>
          <w:tcPr>
            <w:tcW w:w="827" w:type="dxa"/>
          </w:tcPr>
          <w:p w14:paraId="26BC5D37">
            <w:pPr>
              <w:rPr>
                <w:sz w:val="18"/>
                <w:szCs w:val="18"/>
              </w:rPr>
            </w:pPr>
            <w:r>
              <w:rPr>
                <w:sz w:val="18"/>
                <w:szCs w:val="18"/>
              </w:rPr>
              <w:t xml:space="preserve">0.00 </w:t>
            </w:r>
          </w:p>
        </w:tc>
        <w:tc>
          <w:tcPr>
            <w:tcW w:w="827" w:type="dxa"/>
          </w:tcPr>
          <w:p w14:paraId="2350D728">
            <w:pPr>
              <w:rPr>
                <w:sz w:val="18"/>
                <w:szCs w:val="18"/>
              </w:rPr>
            </w:pPr>
            <w:r>
              <w:rPr>
                <w:sz w:val="18"/>
                <w:szCs w:val="18"/>
              </w:rPr>
              <w:t xml:space="preserve">0.00 </w:t>
            </w:r>
          </w:p>
        </w:tc>
        <w:tc>
          <w:tcPr>
            <w:tcW w:w="827" w:type="dxa"/>
          </w:tcPr>
          <w:p w14:paraId="6F5ADAA4">
            <w:pPr>
              <w:rPr>
                <w:sz w:val="18"/>
                <w:szCs w:val="18"/>
              </w:rPr>
            </w:pPr>
            <w:r>
              <w:rPr>
                <w:sz w:val="18"/>
                <w:szCs w:val="18"/>
              </w:rPr>
              <w:t xml:space="preserve">0.00 </w:t>
            </w:r>
          </w:p>
        </w:tc>
        <w:tc>
          <w:tcPr>
            <w:tcW w:w="827" w:type="dxa"/>
          </w:tcPr>
          <w:p w14:paraId="0B82BFDD">
            <w:pPr>
              <w:rPr>
                <w:sz w:val="18"/>
                <w:szCs w:val="18"/>
              </w:rPr>
            </w:pPr>
            <w:r>
              <w:rPr>
                <w:sz w:val="18"/>
                <w:szCs w:val="18"/>
              </w:rPr>
              <w:t xml:space="preserve">0.00 </w:t>
            </w:r>
          </w:p>
        </w:tc>
        <w:tc>
          <w:tcPr>
            <w:tcW w:w="827" w:type="dxa"/>
          </w:tcPr>
          <w:p w14:paraId="3207458C">
            <w:pPr>
              <w:rPr>
                <w:sz w:val="18"/>
                <w:szCs w:val="18"/>
              </w:rPr>
            </w:pPr>
            <w:r>
              <w:rPr>
                <w:sz w:val="18"/>
                <w:szCs w:val="18"/>
              </w:rPr>
              <w:t xml:space="preserve">0.00 </w:t>
            </w:r>
          </w:p>
        </w:tc>
      </w:tr>
      <w:tr w14:paraId="30B5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Pr>
          <w:p w14:paraId="198A987E">
            <w:pPr>
              <w:rPr>
                <w:sz w:val="18"/>
                <w:szCs w:val="18"/>
              </w:rPr>
            </w:pPr>
            <w:r>
              <w:rPr>
                <w:sz w:val="18"/>
                <w:szCs w:val="18"/>
              </w:rPr>
              <w:t>9</w:t>
            </w:r>
          </w:p>
        </w:tc>
        <w:tc>
          <w:tcPr>
            <w:tcW w:w="1171" w:type="dxa"/>
          </w:tcPr>
          <w:p w14:paraId="7508C8D3">
            <w:pPr>
              <w:rPr>
                <w:sz w:val="18"/>
                <w:szCs w:val="18"/>
              </w:rPr>
            </w:pPr>
            <w:r>
              <w:rPr>
                <w:rFonts w:hint="eastAsia"/>
                <w:sz w:val="18"/>
                <w:szCs w:val="18"/>
              </w:rPr>
              <w:t>应纳税所得额</w:t>
            </w:r>
          </w:p>
        </w:tc>
        <w:tc>
          <w:tcPr>
            <w:tcW w:w="827" w:type="dxa"/>
          </w:tcPr>
          <w:p w14:paraId="6D0D498D">
            <w:pPr>
              <w:rPr>
                <w:sz w:val="18"/>
                <w:szCs w:val="18"/>
              </w:rPr>
            </w:pPr>
            <w:r>
              <w:rPr>
                <w:sz w:val="18"/>
                <w:szCs w:val="18"/>
              </w:rPr>
              <w:t xml:space="preserve">85.90 </w:t>
            </w:r>
          </w:p>
        </w:tc>
        <w:tc>
          <w:tcPr>
            <w:tcW w:w="827" w:type="dxa"/>
          </w:tcPr>
          <w:p w14:paraId="31CB8CA7">
            <w:pPr>
              <w:rPr>
                <w:sz w:val="18"/>
                <w:szCs w:val="18"/>
              </w:rPr>
            </w:pPr>
            <w:r>
              <w:rPr>
                <w:sz w:val="18"/>
                <w:szCs w:val="18"/>
              </w:rPr>
              <w:t xml:space="preserve">96.09 </w:t>
            </w:r>
          </w:p>
        </w:tc>
        <w:tc>
          <w:tcPr>
            <w:tcW w:w="827" w:type="dxa"/>
          </w:tcPr>
          <w:p w14:paraId="68DFA1D5">
            <w:pPr>
              <w:rPr>
                <w:sz w:val="18"/>
                <w:szCs w:val="18"/>
              </w:rPr>
            </w:pPr>
            <w:r>
              <w:rPr>
                <w:sz w:val="18"/>
                <w:szCs w:val="18"/>
              </w:rPr>
              <w:t xml:space="preserve">106.66 </w:t>
            </w:r>
          </w:p>
        </w:tc>
        <w:tc>
          <w:tcPr>
            <w:tcW w:w="827" w:type="dxa"/>
          </w:tcPr>
          <w:p w14:paraId="665046F0">
            <w:pPr>
              <w:rPr>
                <w:sz w:val="18"/>
                <w:szCs w:val="18"/>
              </w:rPr>
            </w:pPr>
            <w:r>
              <w:rPr>
                <w:sz w:val="18"/>
                <w:szCs w:val="18"/>
              </w:rPr>
              <w:t xml:space="preserve">117.60 </w:t>
            </w:r>
          </w:p>
        </w:tc>
        <w:tc>
          <w:tcPr>
            <w:tcW w:w="827" w:type="dxa"/>
          </w:tcPr>
          <w:p w14:paraId="30BE47DF">
            <w:pPr>
              <w:rPr>
                <w:sz w:val="18"/>
                <w:szCs w:val="18"/>
              </w:rPr>
            </w:pPr>
            <w:r>
              <w:rPr>
                <w:sz w:val="18"/>
                <w:szCs w:val="18"/>
              </w:rPr>
              <w:t xml:space="preserve">128.94 </w:t>
            </w:r>
          </w:p>
        </w:tc>
        <w:tc>
          <w:tcPr>
            <w:tcW w:w="827" w:type="dxa"/>
          </w:tcPr>
          <w:p w14:paraId="0ED7F1F5">
            <w:pPr>
              <w:rPr>
                <w:sz w:val="18"/>
                <w:szCs w:val="18"/>
              </w:rPr>
            </w:pPr>
            <w:r>
              <w:rPr>
                <w:sz w:val="18"/>
                <w:szCs w:val="18"/>
              </w:rPr>
              <w:t xml:space="preserve">140.69 </w:t>
            </w:r>
          </w:p>
        </w:tc>
        <w:tc>
          <w:tcPr>
            <w:tcW w:w="827" w:type="dxa"/>
          </w:tcPr>
          <w:p w14:paraId="0D6A0379">
            <w:pPr>
              <w:rPr>
                <w:sz w:val="18"/>
                <w:szCs w:val="18"/>
              </w:rPr>
            </w:pPr>
            <w:r>
              <w:rPr>
                <w:sz w:val="18"/>
                <w:szCs w:val="18"/>
              </w:rPr>
              <w:t xml:space="preserve">152.86 </w:t>
            </w:r>
          </w:p>
        </w:tc>
        <w:tc>
          <w:tcPr>
            <w:tcW w:w="827" w:type="dxa"/>
          </w:tcPr>
          <w:p w14:paraId="3713E6AA">
            <w:pPr>
              <w:rPr>
                <w:sz w:val="18"/>
                <w:szCs w:val="18"/>
              </w:rPr>
            </w:pPr>
            <w:r>
              <w:rPr>
                <w:sz w:val="18"/>
                <w:szCs w:val="18"/>
              </w:rPr>
              <w:t xml:space="preserve">165.47 </w:t>
            </w:r>
          </w:p>
        </w:tc>
        <w:tc>
          <w:tcPr>
            <w:tcW w:w="827" w:type="dxa"/>
          </w:tcPr>
          <w:p w14:paraId="1184D9F5">
            <w:pPr>
              <w:rPr>
                <w:sz w:val="18"/>
                <w:szCs w:val="18"/>
              </w:rPr>
            </w:pPr>
            <w:r>
              <w:rPr>
                <w:sz w:val="18"/>
                <w:szCs w:val="18"/>
              </w:rPr>
              <w:t xml:space="preserve">178.53 </w:t>
            </w:r>
          </w:p>
        </w:tc>
        <w:tc>
          <w:tcPr>
            <w:tcW w:w="827" w:type="dxa"/>
          </w:tcPr>
          <w:p w14:paraId="30AA4972">
            <w:pPr>
              <w:rPr>
                <w:sz w:val="18"/>
                <w:szCs w:val="18"/>
              </w:rPr>
            </w:pPr>
            <w:r>
              <w:rPr>
                <w:sz w:val="18"/>
                <w:szCs w:val="18"/>
              </w:rPr>
              <w:t xml:space="preserve">192.07 </w:t>
            </w:r>
          </w:p>
        </w:tc>
        <w:tc>
          <w:tcPr>
            <w:tcW w:w="827" w:type="dxa"/>
          </w:tcPr>
          <w:p w14:paraId="0FD07229">
            <w:pPr>
              <w:rPr>
                <w:sz w:val="18"/>
                <w:szCs w:val="18"/>
              </w:rPr>
            </w:pPr>
            <w:r>
              <w:rPr>
                <w:sz w:val="18"/>
                <w:szCs w:val="18"/>
              </w:rPr>
              <w:t xml:space="preserve">206.09 </w:t>
            </w:r>
          </w:p>
        </w:tc>
        <w:tc>
          <w:tcPr>
            <w:tcW w:w="827" w:type="dxa"/>
          </w:tcPr>
          <w:p w14:paraId="4AB836E8">
            <w:pPr>
              <w:rPr>
                <w:sz w:val="18"/>
                <w:szCs w:val="18"/>
              </w:rPr>
            </w:pPr>
            <w:r>
              <w:rPr>
                <w:sz w:val="18"/>
                <w:szCs w:val="18"/>
              </w:rPr>
              <w:t xml:space="preserve">220.61 </w:t>
            </w:r>
          </w:p>
        </w:tc>
        <w:tc>
          <w:tcPr>
            <w:tcW w:w="827" w:type="dxa"/>
          </w:tcPr>
          <w:p w14:paraId="181F3BF9">
            <w:pPr>
              <w:rPr>
                <w:sz w:val="18"/>
                <w:szCs w:val="18"/>
              </w:rPr>
            </w:pPr>
            <w:r>
              <w:rPr>
                <w:sz w:val="18"/>
                <w:szCs w:val="18"/>
              </w:rPr>
              <w:t xml:space="preserve">235.66 </w:t>
            </w:r>
          </w:p>
        </w:tc>
        <w:tc>
          <w:tcPr>
            <w:tcW w:w="827" w:type="dxa"/>
          </w:tcPr>
          <w:p w14:paraId="014C8332">
            <w:pPr>
              <w:rPr>
                <w:sz w:val="18"/>
                <w:szCs w:val="18"/>
              </w:rPr>
            </w:pPr>
            <w:r>
              <w:rPr>
                <w:sz w:val="18"/>
                <w:szCs w:val="18"/>
              </w:rPr>
              <w:t xml:space="preserve">251.25 </w:t>
            </w:r>
          </w:p>
        </w:tc>
        <w:tc>
          <w:tcPr>
            <w:tcW w:w="827" w:type="dxa"/>
          </w:tcPr>
          <w:p w14:paraId="6F51D06E">
            <w:pPr>
              <w:rPr>
                <w:sz w:val="18"/>
                <w:szCs w:val="18"/>
              </w:rPr>
            </w:pPr>
            <w:r>
              <w:rPr>
                <w:sz w:val="18"/>
                <w:szCs w:val="18"/>
              </w:rPr>
              <w:t xml:space="preserve">267.40 </w:t>
            </w:r>
          </w:p>
        </w:tc>
      </w:tr>
      <w:tr w14:paraId="6385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Pr>
          <w:p w14:paraId="512339CF">
            <w:pPr>
              <w:rPr>
                <w:sz w:val="18"/>
                <w:szCs w:val="18"/>
              </w:rPr>
            </w:pPr>
            <w:r>
              <w:rPr>
                <w:sz w:val="18"/>
                <w:szCs w:val="18"/>
              </w:rPr>
              <w:t>10</w:t>
            </w:r>
          </w:p>
        </w:tc>
        <w:tc>
          <w:tcPr>
            <w:tcW w:w="1171" w:type="dxa"/>
          </w:tcPr>
          <w:p w14:paraId="4F6D87F9">
            <w:pPr>
              <w:rPr>
                <w:sz w:val="18"/>
                <w:szCs w:val="18"/>
              </w:rPr>
            </w:pPr>
            <w:r>
              <w:rPr>
                <w:rFonts w:hint="eastAsia"/>
                <w:sz w:val="18"/>
                <w:szCs w:val="18"/>
              </w:rPr>
              <w:t>所得税</w:t>
            </w:r>
          </w:p>
        </w:tc>
        <w:tc>
          <w:tcPr>
            <w:tcW w:w="827" w:type="dxa"/>
          </w:tcPr>
          <w:p w14:paraId="38064A20">
            <w:pPr>
              <w:rPr>
                <w:sz w:val="18"/>
                <w:szCs w:val="18"/>
              </w:rPr>
            </w:pPr>
            <w:r>
              <w:rPr>
                <w:sz w:val="18"/>
                <w:szCs w:val="18"/>
              </w:rPr>
              <w:t xml:space="preserve">21.47 </w:t>
            </w:r>
          </w:p>
        </w:tc>
        <w:tc>
          <w:tcPr>
            <w:tcW w:w="827" w:type="dxa"/>
          </w:tcPr>
          <w:p w14:paraId="64569254">
            <w:pPr>
              <w:rPr>
                <w:sz w:val="18"/>
                <w:szCs w:val="18"/>
              </w:rPr>
            </w:pPr>
            <w:r>
              <w:rPr>
                <w:sz w:val="18"/>
                <w:szCs w:val="18"/>
              </w:rPr>
              <w:t xml:space="preserve">24.02 </w:t>
            </w:r>
          </w:p>
        </w:tc>
        <w:tc>
          <w:tcPr>
            <w:tcW w:w="827" w:type="dxa"/>
          </w:tcPr>
          <w:p w14:paraId="68387F26">
            <w:pPr>
              <w:rPr>
                <w:sz w:val="18"/>
                <w:szCs w:val="18"/>
              </w:rPr>
            </w:pPr>
            <w:r>
              <w:rPr>
                <w:sz w:val="18"/>
                <w:szCs w:val="18"/>
              </w:rPr>
              <w:t xml:space="preserve">26.66 </w:t>
            </w:r>
          </w:p>
        </w:tc>
        <w:tc>
          <w:tcPr>
            <w:tcW w:w="827" w:type="dxa"/>
          </w:tcPr>
          <w:p w14:paraId="5A72BE74">
            <w:pPr>
              <w:rPr>
                <w:sz w:val="18"/>
                <w:szCs w:val="18"/>
              </w:rPr>
            </w:pPr>
            <w:r>
              <w:rPr>
                <w:sz w:val="18"/>
                <w:szCs w:val="18"/>
              </w:rPr>
              <w:t xml:space="preserve">29.40 </w:t>
            </w:r>
          </w:p>
        </w:tc>
        <w:tc>
          <w:tcPr>
            <w:tcW w:w="827" w:type="dxa"/>
          </w:tcPr>
          <w:p w14:paraId="7F014652">
            <w:pPr>
              <w:rPr>
                <w:sz w:val="18"/>
                <w:szCs w:val="18"/>
              </w:rPr>
            </w:pPr>
            <w:r>
              <w:rPr>
                <w:sz w:val="18"/>
                <w:szCs w:val="18"/>
              </w:rPr>
              <w:t xml:space="preserve">32.24 </w:t>
            </w:r>
          </w:p>
        </w:tc>
        <w:tc>
          <w:tcPr>
            <w:tcW w:w="827" w:type="dxa"/>
          </w:tcPr>
          <w:p w14:paraId="6EF3C45A">
            <w:pPr>
              <w:rPr>
                <w:sz w:val="18"/>
                <w:szCs w:val="18"/>
              </w:rPr>
            </w:pPr>
            <w:r>
              <w:rPr>
                <w:sz w:val="18"/>
                <w:szCs w:val="18"/>
              </w:rPr>
              <w:t xml:space="preserve">35.17 </w:t>
            </w:r>
          </w:p>
        </w:tc>
        <w:tc>
          <w:tcPr>
            <w:tcW w:w="827" w:type="dxa"/>
          </w:tcPr>
          <w:p w14:paraId="18C0A79C">
            <w:pPr>
              <w:rPr>
                <w:sz w:val="18"/>
                <w:szCs w:val="18"/>
              </w:rPr>
            </w:pPr>
            <w:r>
              <w:rPr>
                <w:sz w:val="18"/>
                <w:szCs w:val="18"/>
              </w:rPr>
              <w:t xml:space="preserve">38.22 </w:t>
            </w:r>
          </w:p>
        </w:tc>
        <w:tc>
          <w:tcPr>
            <w:tcW w:w="827" w:type="dxa"/>
          </w:tcPr>
          <w:p w14:paraId="31EAC957">
            <w:pPr>
              <w:rPr>
                <w:sz w:val="18"/>
                <w:szCs w:val="18"/>
              </w:rPr>
            </w:pPr>
            <w:r>
              <w:rPr>
                <w:sz w:val="18"/>
                <w:szCs w:val="18"/>
              </w:rPr>
              <w:t xml:space="preserve">41.37 </w:t>
            </w:r>
          </w:p>
        </w:tc>
        <w:tc>
          <w:tcPr>
            <w:tcW w:w="827" w:type="dxa"/>
          </w:tcPr>
          <w:p w14:paraId="173AD4E4">
            <w:pPr>
              <w:rPr>
                <w:sz w:val="18"/>
                <w:szCs w:val="18"/>
              </w:rPr>
            </w:pPr>
            <w:r>
              <w:rPr>
                <w:sz w:val="18"/>
                <w:szCs w:val="18"/>
              </w:rPr>
              <w:t xml:space="preserve">44.63 </w:t>
            </w:r>
          </w:p>
        </w:tc>
        <w:tc>
          <w:tcPr>
            <w:tcW w:w="827" w:type="dxa"/>
          </w:tcPr>
          <w:p w14:paraId="4705F0D7">
            <w:pPr>
              <w:rPr>
                <w:sz w:val="18"/>
                <w:szCs w:val="18"/>
              </w:rPr>
            </w:pPr>
            <w:r>
              <w:rPr>
                <w:sz w:val="18"/>
                <w:szCs w:val="18"/>
              </w:rPr>
              <w:t xml:space="preserve">48.02 </w:t>
            </w:r>
          </w:p>
        </w:tc>
        <w:tc>
          <w:tcPr>
            <w:tcW w:w="827" w:type="dxa"/>
          </w:tcPr>
          <w:p w14:paraId="49F542EB">
            <w:pPr>
              <w:rPr>
                <w:sz w:val="18"/>
                <w:szCs w:val="18"/>
              </w:rPr>
            </w:pPr>
            <w:r>
              <w:rPr>
                <w:sz w:val="18"/>
                <w:szCs w:val="18"/>
              </w:rPr>
              <w:t xml:space="preserve">51.52 </w:t>
            </w:r>
          </w:p>
        </w:tc>
        <w:tc>
          <w:tcPr>
            <w:tcW w:w="827" w:type="dxa"/>
          </w:tcPr>
          <w:p w14:paraId="611510E7">
            <w:pPr>
              <w:rPr>
                <w:sz w:val="18"/>
                <w:szCs w:val="18"/>
              </w:rPr>
            </w:pPr>
            <w:r>
              <w:rPr>
                <w:sz w:val="18"/>
                <w:szCs w:val="18"/>
              </w:rPr>
              <w:t xml:space="preserve">55.15 </w:t>
            </w:r>
          </w:p>
        </w:tc>
        <w:tc>
          <w:tcPr>
            <w:tcW w:w="827" w:type="dxa"/>
          </w:tcPr>
          <w:p w14:paraId="00365E77">
            <w:pPr>
              <w:rPr>
                <w:sz w:val="18"/>
                <w:szCs w:val="18"/>
              </w:rPr>
            </w:pPr>
            <w:r>
              <w:rPr>
                <w:sz w:val="18"/>
                <w:szCs w:val="18"/>
              </w:rPr>
              <w:t xml:space="preserve">58.91 </w:t>
            </w:r>
          </w:p>
        </w:tc>
        <w:tc>
          <w:tcPr>
            <w:tcW w:w="827" w:type="dxa"/>
          </w:tcPr>
          <w:p w14:paraId="40D2A7F7">
            <w:pPr>
              <w:rPr>
                <w:sz w:val="18"/>
                <w:szCs w:val="18"/>
              </w:rPr>
            </w:pPr>
            <w:r>
              <w:rPr>
                <w:sz w:val="18"/>
                <w:szCs w:val="18"/>
              </w:rPr>
              <w:t xml:space="preserve">62.81 </w:t>
            </w:r>
          </w:p>
        </w:tc>
        <w:tc>
          <w:tcPr>
            <w:tcW w:w="827" w:type="dxa"/>
          </w:tcPr>
          <w:p w14:paraId="6C827310">
            <w:pPr>
              <w:rPr>
                <w:sz w:val="18"/>
                <w:szCs w:val="18"/>
              </w:rPr>
            </w:pPr>
            <w:r>
              <w:rPr>
                <w:sz w:val="18"/>
                <w:szCs w:val="18"/>
              </w:rPr>
              <w:t xml:space="preserve">66.85 </w:t>
            </w:r>
          </w:p>
        </w:tc>
      </w:tr>
      <w:tr w14:paraId="5949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Pr>
          <w:p w14:paraId="074AC222">
            <w:pPr>
              <w:rPr>
                <w:sz w:val="18"/>
                <w:szCs w:val="18"/>
              </w:rPr>
            </w:pPr>
            <w:r>
              <w:rPr>
                <w:sz w:val="18"/>
                <w:szCs w:val="18"/>
              </w:rPr>
              <w:t>11</w:t>
            </w:r>
          </w:p>
        </w:tc>
        <w:tc>
          <w:tcPr>
            <w:tcW w:w="1171" w:type="dxa"/>
          </w:tcPr>
          <w:p w14:paraId="5A065722">
            <w:pPr>
              <w:rPr>
                <w:sz w:val="18"/>
                <w:szCs w:val="18"/>
              </w:rPr>
            </w:pPr>
            <w:r>
              <w:rPr>
                <w:rFonts w:hint="eastAsia"/>
                <w:sz w:val="18"/>
                <w:szCs w:val="18"/>
              </w:rPr>
              <w:t>净利润</w:t>
            </w:r>
          </w:p>
        </w:tc>
        <w:tc>
          <w:tcPr>
            <w:tcW w:w="827" w:type="dxa"/>
          </w:tcPr>
          <w:p w14:paraId="4049A9D0">
            <w:pPr>
              <w:rPr>
                <w:sz w:val="18"/>
                <w:szCs w:val="18"/>
              </w:rPr>
            </w:pPr>
            <w:r>
              <w:rPr>
                <w:sz w:val="18"/>
                <w:szCs w:val="18"/>
              </w:rPr>
              <w:t xml:space="preserve">64.42 </w:t>
            </w:r>
          </w:p>
        </w:tc>
        <w:tc>
          <w:tcPr>
            <w:tcW w:w="827" w:type="dxa"/>
          </w:tcPr>
          <w:p w14:paraId="65047111">
            <w:pPr>
              <w:rPr>
                <w:sz w:val="18"/>
                <w:szCs w:val="18"/>
              </w:rPr>
            </w:pPr>
            <w:r>
              <w:rPr>
                <w:sz w:val="18"/>
                <w:szCs w:val="18"/>
              </w:rPr>
              <w:t xml:space="preserve">72.07 </w:t>
            </w:r>
          </w:p>
        </w:tc>
        <w:tc>
          <w:tcPr>
            <w:tcW w:w="827" w:type="dxa"/>
          </w:tcPr>
          <w:p w14:paraId="76729794">
            <w:pPr>
              <w:rPr>
                <w:sz w:val="18"/>
                <w:szCs w:val="18"/>
              </w:rPr>
            </w:pPr>
            <w:r>
              <w:rPr>
                <w:sz w:val="18"/>
                <w:szCs w:val="18"/>
              </w:rPr>
              <w:t xml:space="preserve">79.99 </w:t>
            </w:r>
          </w:p>
        </w:tc>
        <w:tc>
          <w:tcPr>
            <w:tcW w:w="827" w:type="dxa"/>
          </w:tcPr>
          <w:p w14:paraId="252DF304">
            <w:pPr>
              <w:rPr>
                <w:sz w:val="18"/>
                <w:szCs w:val="18"/>
              </w:rPr>
            </w:pPr>
            <w:r>
              <w:rPr>
                <w:sz w:val="18"/>
                <w:szCs w:val="18"/>
              </w:rPr>
              <w:t xml:space="preserve">88.20 </w:t>
            </w:r>
          </w:p>
        </w:tc>
        <w:tc>
          <w:tcPr>
            <w:tcW w:w="827" w:type="dxa"/>
          </w:tcPr>
          <w:p w14:paraId="6ED0A9CE">
            <w:pPr>
              <w:rPr>
                <w:sz w:val="18"/>
                <w:szCs w:val="18"/>
              </w:rPr>
            </w:pPr>
            <w:r>
              <w:rPr>
                <w:sz w:val="18"/>
                <w:szCs w:val="18"/>
              </w:rPr>
              <w:t xml:space="preserve">96.71 </w:t>
            </w:r>
          </w:p>
        </w:tc>
        <w:tc>
          <w:tcPr>
            <w:tcW w:w="827" w:type="dxa"/>
          </w:tcPr>
          <w:p w14:paraId="560F3D5E">
            <w:pPr>
              <w:rPr>
                <w:sz w:val="18"/>
                <w:szCs w:val="18"/>
              </w:rPr>
            </w:pPr>
            <w:r>
              <w:rPr>
                <w:sz w:val="18"/>
                <w:szCs w:val="18"/>
              </w:rPr>
              <w:t xml:space="preserve">105.52 </w:t>
            </w:r>
          </w:p>
        </w:tc>
        <w:tc>
          <w:tcPr>
            <w:tcW w:w="827" w:type="dxa"/>
          </w:tcPr>
          <w:p w14:paraId="21B230F7">
            <w:pPr>
              <w:rPr>
                <w:sz w:val="18"/>
                <w:szCs w:val="18"/>
              </w:rPr>
            </w:pPr>
            <w:r>
              <w:rPr>
                <w:sz w:val="18"/>
                <w:szCs w:val="18"/>
              </w:rPr>
              <w:t xml:space="preserve">114.65 </w:t>
            </w:r>
          </w:p>
        </w:tc>
        <w:tc>
          <w:tcPr>
            <w:tcW w:w="827" w:type="dxa"/>
          </w:tcPr>
          <w:p w14:paraId="4C0D4A33">
            <w:pPr>
              <w:rPr>
                <w:sz w:val="18"/>
                <w:szCs w:val="18"/>
              </w:rPr>
            </w:pPr>
            <w:r>
              <w:rPr>
                <w:sz w:val="18"/>
                <w:szCs w:val="18"/>
              </w:rPr>
              <w:t xml:space="preserve">124.10 </w:t>
            </w:r>
          </w:p>
        </w:tc>
        <w:tc>
          <w:tcPr>
            <w:tcW w:w="827" w:type="dxa"/>
          </w:tcPr>
          <w:p w14:paraId="34E45188">
            <w:pPr>
              <w:rPr>
                <w:sz w:val="18"/>
                <w:szCs w:val="18"/>
              </w:rPr>
            </w:pPr>
            <w:r>
              <w:rPr>
                <w:sz w:val="18"/>
                <w:szCs w:val="18"/>
              </w:rPr>
              <w:t xml:space="preserve">133.90 </w:t>
            </w:r>
          </w:p>
        </w:tc>
        <w:tc>
          <w:tcPr>
            <w:tcW w:w="827" w:type="dxa"/>
          </w:tcPr>
          <w:p w14:paraId="3618A16D">
            <w:pPr>
              <w:rPr>
                <w:sz w:val="18"/>
                <w:szCs w:val="18"/>
              </w:rPr>
            </w:pPr>
            <w:r>
              <w:rPr>
                <w:sz w:val="18"/>
                <w:szCs w:val="18"/>
              </w:rPr>
              <w:t xml:space="preserve">144.05 </w:t>
            </w:r>
          </w:p>
        </w:tc>
        <w:tc>
          <w:tcPr>
            <w:tcW w:w="827" w:type="dxa"/>
          </w:tcPr>
          <w:p w14:paraId="69F5B653">
            <w:pPr>
              <w:rPr>
                <w:sz w:val="18"/>
                <w:szCs w:val="18"/>
              </w:rPr>
            </w:pPr>
            <w:r>
              <w:rPr>
                <w:sz w:val="18"/>
                <w:szCs w:val="18"/>
              </w:rPr>
              <w:t xml:space="preserve">154.56 </w:t>
            </w:r>
          </w:p>
        </w:tc>
        <w:tc>
          <w:tcPr>
            <w:tcW w:w="827" w:type="dxa"/>
          </w:tcPr>
          <w:p w14:paraId="1260854B">
            <w:pPr>
              <w:rPr>
                <w:sz w:val="18"/>
                <w:szCs w:val="18"/>
              </w:rPr>
            </w:pPr>
            <w:r>
              <w:rPr>
                <w:sz w:val="18"/>
                <w:szCs w:val="18"/>
              </w:rPr>
              <w:t xml:space="preserve">165.46 </w:t>
            </w:r>
          </w:p>
        </w:tc>
        <w:tc>
          <w:tcPr>
            <w:tcW w:w="827" w:type="dxa"/>
          </w:tcPr>
          <w:p w14:paraId="1BE63A62">
            <w:pPr>
              <w:rPr>
                <w:sz w:val="18"/>
                <w:szCs w:val="18"/>
              </w:rPr>
            </w:pPr>
            <w:r>
              <w:rPr>
                <w:sz w:val="18"/>
                <w:szCs w:val="18"/>
              </w:rPr>
              <w:t xml:space="preserve">176.74 </w:t>
            </w:r>
          </w:p>
        </w:tc>
        <w:tc>
          <w:tcPr>
            <w:tcW w:w="827" w:type="dxa"/>
          </w:tcPr>
          <w:p w14:paraId="6A5A748D">
            <w:pPr>
              <w:rPr>
                <w:sz w:val="18"/>
                <w:szCs w:val="18"/>
              </w:rPr>
            </w:pPr>
            <w:r>
              <w:rPr>
                <w:sz w:val="18"/>
                <w:szCs w:val="18"/>
              </w:rPr>
              <w:t xml:space="preserve">188.44 </w:t>
            </w:r>
          </w:p>
        </w:tc>
        <w:tc>
          <w:tcPr>
            <w:tcW w:w="827" w:type="dxa"/>
          </w:tcPr>
          <w:p w14:paraId="2B3632D8">
            <w:pPr>
              <w:rPr>
                <w:sz w:val="18"/>
                <w:szCs w:val="18"/>
              </w:rPr>
            </w:pPr>
            <w:r>
              <w:rPr>
                <w:sz w:val="18"/>
                <w:szCs w:val="18"/>
              </w:rPr>
              <w:t xml:space="preserve">200.55 </w:t>
            </w:r>
          </w:p>
        </w:tc>
      </w:tr>
    </w:tbl>
    <w:p w14:paraId="7E816985">
      <w:pPr>
        <w:pStyle w:val="10"/>
        <w:spacing w:after="156"/>
        <w:rPr>
          <w:rStyle w:val="34"/>
          <w:rFonts w:hint="default"/>
        </w:rPr>
      </w:pPr>
    </w:p>
    <w:p w14:paraId="27D1DF8A">
      <w:pPr>
        <w:pStyle w:val="5"/>
      </w:pPr>
      <w:r>
        <w:t>4</w:t>
      </w:r>
      <w:r>
        <w:rPr>
          <w:rFonts w:hint="eastAsia"/>
        </w:rPr>
        <w:t>、投资现金流量表</w:t>
      </w:r>
    </w:p>
    <w:tbl>
      <w:tblPr>
        <w:tblStyle w:val="19"/>
        <w:tblW w:w="15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37"/>
        <w:gridCol w:w="1126"/>
        <w:gridCol w:w="915"/>
        <w:gridCol w:w="915"/>
        <w:gridCol w:w="915"/>
        <w:gridCol w:w="915"/>
        <w:gridCol w:w="915"/>
        <w:gridCol w:w="915"/>
        <w:gridCol w:w="915"/>
        <w:gridCol w:w="915"/>
        <w:gridCol w:w="915"/>
        <w:gridCol w:w="915"/>
        <w:gridCol w:w="915"/>
        <w:gridCol w:w="915"/>
        <w:gridCol w:w="915"/>
        <w:gridCol w:w="915"/>
      </w:tblGrid>
      <w:tr w14:paraId="4B9A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22" w:type="dxa"/>
            <w:vAlign w:val="center"/>
          </w:tcPr>
          <w:p w14:paraId="3DD3EE49">
            <w:pPr>
              <w:rPr>
                <w:rFonts w:cstheme="minorHAnsi"/>
                <w:sz w:val="18"/>
                <w:szCs w:val="18"/>
              </w:rPr>
            </w:pPr>
            <w:r>
              <w:rPr>
                <w:rFonts w:cstheme="minorHAnsi"/>
                <w:sz w:val="18"/>
                <w:szCs w:val="18"/>
              </w:rPr>
              <w:t xml:space="preserve">序号 </w:t>
            </w:r>
          </w:p>
        </w:tc>
        <w:tc>
          <w:tcPr>
            <w:tcW w:w="937" w:type="dxa"/>
            <w:vAlign w:val="center"/>
          </w:tcPr>
          <w:p w14:paraId="06694B4D">
            <w:pPr>
              <w:rPr>
                <w:rFonts w:cstheme="minorHAnsi"/>
                <w:sz w:val="18"/>
                <w:szCs w:val="18"/>
              </w:rPr>
            </w:pPr>
            <w:r>
              <w:rPr>
                <w:rFonts w:cstheme="minorHAnsi"/>
                <w:sz w:val="18"/>
                <w:szCs w:val="18"/>
              </w:rPr>
              <w:t>运营年</w:t>
            </w:r>
          </w:p>
        </w:tc>
        <w:tc>
          <w:tcPr>
            <w:tcW w:w="1126" w:type="dxa"/>
          </w:tcPr>
          <w:p w14:paraId="107A8837">
            <w:pPr>
              <w:jc w:val="center"/>
              <w:rPr>
                <w:rFonts w:cstheme="minorHAnsi"/>
                <w:sz w:val="18"/>
                <w:szCs w:val="18"/>
              </w:rPr>
            </w:pPr>
            <w:r>
              <w:rPr>
                <w:rFonts w:cstheme="minorHAnsi"/>
                <w:sz w:val="18"/>
                <w:szCs w:val="18"/>
              </w:rPr>
              <w:t>1</w:t>
            </w:r>
          </w:p>
        </w:tc>
        <w:tc>
          <w:tcPr>
            <w:tcW w:w="915" w:type="dxa"/>
          </w:tcPr>
          <w:p w14:paraId="47C86525">
            <w:pPr>
              <w:jc w:val="center"/>
              <w:rPr>
                <w:rFonts w:cstheme="minorHAnsi"/>
                <w:sz w:val="18"/>
                <w:szCs w:val="18"/>
              </w:rPr>
            </w:pPr>
            <w:r>
              <w:rPr>
                <w:rFonts w:cstheme="minorHAnsi"/>
                <w:sz w:val="18"/>
                <w:szCs w:val="18"/>
              </w:rPr>
              <w:t>2</w:t>
            </w:r>
          </w:p>
        </w:tc>
        <w:tc>
          <w:tcPr>
            <w:tcW w:w="915" w:type="dxa"/>
          </w:tcPr>
          <w:p w14:paraId="6DDD1B00">
            <w:pPr>
              <w:jc w:val="center"/>
              <w:rPr>
                <w:rFonts w:cstheme="minorHAnsi"/>
                <w:sz w:val="18"/>
                <w:szCs w:val="18"/>
              </w:rPr>
            </w:pPr>
            <w:r>
              <w:rPr>
                <w:rFonts w:cstheme="minorHAnsi"/>
                <w:sz w:val="18"/>
                <w:szCs w:val="18"/>
              </w:rPr>
              <w:t>3</w:t>
            </w:r>
          </w:p>
        </w:tc>
        <w:tc>
          <w:tcPr>
            <w:tcW w:w="915" w:type="dxa"/>
          </w:tcPr>
          <w:p w14:paraId="5661B1AE">
            <w:pPr>
              <w:jc w:val="center"/>
              <w:rPr>
                <w:rFonts w:cstheme="minorHAnsi"/>
                <w:sz w:val="18"/>
                <w:szCs w:val="18"/>
              </w:rPr>
            </w:pPr>
            <w:r>
              <w:rPr>
                <w:rFonts w:cstheme="minorHAnsi"/>
                <w:sz w:val="18"/>
                <w:szCs w:val="18"/>
              </w:rPr>
              <w:t>4</w:t>
            </w:r>
          </w:p>
        </w:tc>
        <w:tc>
          <w:tcPr>
            <w:tcW w:w="915" w:type="dxa"/>
          </w:tcPr>
          <w:p w14:paraId="7CEA4297">
            <w:pPr>
              <w:jc w:val="center"/>
              <w:rPr>
                <w:rFonts w:cstheme="minorHAnsi"/>
                <w:sz w:val="18"/>
                <w:szCs w:val="18"/>
              </w:rPr>
            </w:pPr>
            <w:r>
              <w:rPr>
                <w:rFonts w:cstheme="minorHAnsi"/>
                <w:sz w:val="18"/>
                <w:szCs w:val="18"/>
              </w:rPr>
              <w:t>5</w:t>
            </w:r>
          </w:p>
        </w:tc>
        <w:tc>
          <w:tcPr>
            <w:tcW w:w="915" w:type="dxa"/>
          </w:tcPr>
          <w:p w14:paraId="420987A7">
            <w:pPr>
              <w:jc w:val="center"/>
              <w:rPr>
                <w:rFonts w:cstheme="minorHAnsi"/>
                <w:sz w:val="18"/>
                <w:szCs w:val="18"/>
              </w:rPr>
            </w:pPr>
            <w:r>
              <w:rPr>
                <w:rFonts w:cstheme="minorHAnsi"/>
                <w:sz w:val="18"/>
                <w:szCs w:val="18"/>
              </w:rPr>
              <w:t>6</w:t>
            </w:r>
          </w:p>
        </w:tc>
        <w:tc>
          <w:tcPr>
            <w:tcW w:w="915" w:type="dxa"/>
          </w:tcPr>
          <w:p w14:paraId="02A5E19F">
            <w:pPr>
              <w:jc w:val="center"/>
              <w:rPr>
                <w:rFonts w:cstheme="minorHAnsi"/>
                <w:sz w:val="18"/>
                <w:szCs w:val="18"/>
              </w:rPr>
            </w:pPr>
            <w:r>
              <w:rPr>
                <w:rFonts w:cstheme="minorHAnsi"/>
                <w:sz w:val="18"/>
                <w:szCs w:val="18"/>
              </w:rPr>
              <w:t>7</w:t>
            </w:r>
          </w:p>
        </w:tc>
        <w:tc>
          <w:tcPr>
            <w:tcW w:w="915" w:type="dxa"/>
          </w:tcPr>
          <w:p w14:paraId="30CD3CF8">
            <w:pPr>
              <w:jc w:val="center"/>
              <w:rPr>
                <w:rFonts w:cstheme="minorHAnsi"/>
                <w:sz w:val="18"/>
                <w:szCs w:val="18"/>
              </w:rPr>
            </w:pPr>
            <w:r>
              <w:rPr>
                <w:rFonts w:cstheme="minorHAnsi"/>
                <w:sz w:val="18"/>
                <w:szCs w:val="18"/>
              </w:rPr>
              <w:t>8</w:t>
            </w:r>
          </w:p>
        </w:tc>
        <w:tc>
          <w:tcPr>
            <w:tcW w:w="915" w:type="dxa"/>
          </w:tcPr>
          <w:p w14:paraId="4CA8D661">
            <w:pPr>
              <w:jc w:val="center"/>
              <w:rPr>
                <w:rFonts w:cstheme="minorHAnsi"/>
                <w:sz w:val="18"/>
                <w:szCs w:val="18"/>
              </w:rPr>
            </w:pPr>
            <w:r>
              <w:rPr>
                <w:rFonts w:cstheme="minorHAnsi"/>
                <w:sz w:val="18"/>
                <w:szCs w:val="18"/>
              </w:rPr>
              <w:t>9</w:t>
            </w:r>
          </w:p>
        </w:tc>
        <w:tc>
          <w:tcPr>
            <w:tcW w:w="915" w:type="dxa"/>
          </w:tcPr>
          <w:p w14:paraId="04352162">
            <w:pPr>
              <w:jc w:val="center"/>
              <w:rPr>
                <w:rFonts w:cstheme="minorHAnsi"/>
                <w:sz w:val="18"/>
                <w:szCs w:val="18"/>
              </w:rPr>
            </w:pPr>
            <w:r>
              <w:rPr>
                <w:rFonts w:cstheme="minorHAnsi"/>
                <w:sz w:val="18"/>
                <w:szCs w:val="18"/>
              </w:rPr>
              <w:t>10</w:t>
            </w:r>
          </w:p>
        </w:tc>
        <w:tc>
          <w:tcPr>
            <w:tcW w:w="915" w:type="dxa"/>
          </w:tcPr>
          <w:p w14:paraId="054E4D6D">
            <w:pPr>
              <w:jc w:val="center"/>
              <w:rPr>
                <w:rFonts w:cstheme="minorHAnsi"/>
                <w:sz w:val="18"/>
                <w:szCs w:val="18"/>
              </w:rPr>
            </w:pPr>
            <w:r>
              <w:rPr>
                <w:rFonts w:cstheme="minorHAnsi"/>
                <w:sz w:val="18"/>
                <w:szCs w:val="18"/>
              </w:rPr>
              <w:t>11</w:t>
            </w:r>
          </w:p>
        </w:tc>
        <w:tc>
          <w:tcPr>
            <w:tcW w:w="915" w:type="dxa"/>
          </w:tcPr>
          <w:p w14:paraId="27FCF124">
            <w:pPr>
              <w:jc w:val="center"/>
              <w:rPr>
                <w:rFonts w:cstheme="minorHAnsi"/>
                <w:sz w:val="18"/>
                <w:szCs w:val="18"/>
              </w:rPr>
            </w:pPr>
            <w:r>
              <w:rPr>
                <w:rFonts w:cstheme="minorHAnsi"/>
                <w:sz w:val="18"/>
                <w:szCs w:val="18"/>
              </w:rPr>
              <w:t>12</w:t>
            </w:r>
          </w:p>
        </w:tc>
        <w:tc>
          <w:tcPr>
            <w:tcW w:w="915" w:type="dxa"/>
          </w:tcPr>
          <w:p w14:paraId="2DBBC1CE">
            <w:pPr>
              <w:jc w:val="center"/>
              <w:rPr>
                <w:rFonts w:cstheme="minorHAnsi"/>
                <w:sz w:val="18"/>
                <w:szCs w:val="18"/>
              </w:rPr>
            </w:pPr>
            <w:r>
              <w:rPr>
                <w:rFonts w:cstheme="minorHAnsi"/>
                <w:sz w:val="18"/>
                <w:szCs w:val="18"/>
              </w:rPr>
              <w:t>13</w:t>
            </w:r>
          </w:p>
        </w:tc>
        <w:tc>
          <w:tcPr>
            <w:tcW w:w="915" w:type="dxa"/>
          </w:tcPr>
          <w:p w14:paraId="1706B981">
            <w:pPr>
              <w:jc w:val="center"/>
              <w:rPr>
                <w:rFonts w:cstheme="minorHAnsi"/>
                <w:sz w:val="18"/>
                <w:szCs w:val="18"/>
              </w:rPr>
            </w:pPr>
            <w:r>
              <w:rPr>
                <w:rFonts w:cstheme="minorHAnsi"/>
                <w:sz w:val="18"/>
                <w:szCs w:val="18"/>
              </w:rPr>
              <w:t>14</w:t>
            </w:r>
          </w:p>
        </w:tc>
        <w:tc>
          <w:tcPr>
            <w:tcW w:w="915" w:type="dxa"/>
          </w:tcPr>
          <w:p w14:paraId="78075025">
            <w:pPr>
              <w:jc w:val="center"/>
              <w:rPr>
                <w:rFonts w:cstheme="minorHAnsi"/>
                <w:sz w:val="18"/>
                <w:szCs w:val="18"/>
              </w:rPr>
            </w:pPr>
            <w:r>
              <w:rPr>
                <w:rFonts w:cstheme="minorHAnsi"/>
                <w:sz w:val="18"/>
                <w:szCs w:val="18"/>
              </w:rPr>
              <w:t>15</w:t>
            </w:r>
          </w:p>
        </w:tc>
      </w:tr>
      <w:tr w14:paraId="401B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22" w:type="dxa"/>
          </w:tcPr>
          <w:p w14:paraId="01BFC3D1">
            <w:pPr>
              <w:rPr>
                <w:rFonts w:cstheme="minorHAnsi"/>
                <w:sz w:val="18"/>
                <w:szCs w:val="18"/>
              </w:rPr>
            </w:pPr>
            <w:r>
              <w:rPr>
                <w:rFonts w:cstheme="minorHAnsi"/>
                <w:sz w:val="18"/>
                <w:szCs w:val="18"/>
              </w:rPr>
              <w:t>1</w:t>
            </w:r>
          </w:p>
        </w:tc>
        <w:tc>
          <w:tcPr>
            <w:tcW w:w="937" w:type="dxa"/>
          </w:tcPr>
          <w:p w14:paraId="34C7E911">
            <w:pPr>
              <w:rPr>
                <w:rFonts w:cstheme="minorHAnsi"/>
                <w:sz w:val="18"/>
                <w:szCs w:val="18"/>
              </w:rPr>
            </w:pPr>
            <w:r>
              <w:rPr>
                <w:rFonts w:cstheme="minorHAnsi"/>
                <w:sz w:val="18"/>
                <w:szCs w:val="18"/>
              </w:rPr>
              <w:t>现金流入</w:t>
            </w:r>
          </w:p>
        </w:tc>
        <w:tc>
          <w:tcPr>
            <w:tcW w:w="1126" w:type="dxa"/>
            <w:vAlign w:val="center"/>
          </w:tcPr>
          <w:p w14:paraId="7444F73C">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14CDA346">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2FFD6C41">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282EB974">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238D67B1">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02CFAEE5">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74754681">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521EAF5C">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7E3A4DEF">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1DCCD126">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55805414">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372662BA">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56A63CC8">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42769BDF">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915" w:type="dxa"/>
            <w:vAlign w:val="center"/>
          </w:tcPr>
          <w:p w14:paraId="5B46A455">
            <w:pPr>
              <w:jc w:val="center"/>
              <w:rPr>
                <w:rFonts w:cstheme="minorHAnsi"/>
                <w:color w:val="000000" w:themeColor="text1"/>
                <w:sz w:val="18"/>
                <w:szCs w:val="18"/>
                <w14:textFill>
                  <w14:solidFill>
                    <w14:schemeClr w14:val="tx1"/>
                  </w14:solidFill>
                </w14:textFill>
              </w:rPr>
            </w:pPr>
            <w:r>
              <w:rPr>
                <w:sz w:val="18"/>
                <w:szCs w:val="18"/>
              </w:rPr>
              <w:t xml:space="preserve"> 938.92 </w:t>
            </w:r>
          </w:p>
        </w:tc>
      </w:tr>
      <w:tr w14:paraId="2D8D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22" w:type="dxa"/>
          </w:tcPr>
          <w:p w14:paraId="718F94FB">
            <w:pPr>
              <w:rPr>
                <w:rFonts w:cstheme="minorHAnsi"/>
                <w:sz w:val="18"/>
                <w:szCs w:val="18"/>
              </w:rPr>
            </w:pPr>
            <w:r>
              <w:rPr>
                <w:rFonts w:cstheme="minorHAnsi"/>
                <w:sz w:val="18"/>
                <w:szCs w:val="18"/>
              </w:rPr>
              <w:t>1.1</w:t>
            </w:r>
          </w:p>
        </w:tc>
        <w:tc>
          <w:tcPr>
            <w:tcW w:w="937" w:type="dxa"/>
          </w:tcPr>
          <w:p w14:paraId="2C535B78">
            <w:pPr>
              <w:rPr>
                <w:rFonts w:cstheme="minorHAnsi"/>
                <w:sz w:val="18"/>
                <w:szCs w:val="18"/>
              </w:rPr>
            </w:pPr>
            <w:r>
              <w:rPr>
                <w:rFonts w:cstheme="minorHAnsi"/>
                <w:sz w:val="18"/>
                <w:szCs w:val="18"/>
              </w:rPr>
              <w:t>营业收入（含税）</w:t>
            </w:r>
          </w:p>
        </w:tc>
        <w:tc>
          <w:tcPr>
            <w:tcW w:w="1126" w:type="dxa"/>
            <w:vAlign w:val="center"/>
          </w:tcPr>
          <w:p w14:paraId="14E8CEDB">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42546D3E">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3BEFBA84">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76D32F5E">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1ECD2C0D">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401FAEC9">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1A813A7A">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6AAD0B8C">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0BA0E0AA">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35D79554">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2A887A81">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50D0692D">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665FB3AB">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007C9C8A">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915" w:type="dxa"/>
            <w:vAlign w:val="center"/>
          </w:tcPr>
          <w:p w14:paraId="478DFF72">
            <w:pPr>
              <w:jc w:val="center"/>
              <w:rPr>
                <w:rFonts w:cstheme="minorHAnsi"/>
                <w:color w:val="000000" w:themeColor="text1"/>
                <w:sz w:val="18"/>
                <w:szCs w:val="18"/>
                <w14:textFill>
                  <w14:solidFill>
                    <w14:schemeClr w14:val="tx1"/>
                  </w14:solidFill>
                </w14:textFill>
              </w:rPr>
            </w:pPr>
            <w:r>
              <w:rPr>
                <w:sz w:val="18"/>
                <w:szCs w:val="18"/>
              </w:rPr>
              <w:t xml:space="preserve"> 919.00 </w:t>
            </w:r>
          </w:p>
        </w:tc>
      </w:tr>
      <w:tr w14:paraId="27EC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22" w:type="dxa"/>
          </w:tcPr>
          <w:p w14:paraId="2DD1467D">
            <w:pPr>
              <w:rPr>
                <w:rFonts w:cstheme="minorHAnsi"/>
                <w:sz w:val="18"/>
                <w:szCs w:val="18"/>
              </w:rPr>
            </w:pPr>
            <w:r>
              <w:rPr>
                <w:rFonts w:cstheme="minorHAnsi"/>
                <w:sz w:val="18"/>
                <w:szCs w:val="18"/>
              </w:rPr>
              <w:t>1.2</w:t>
            </w:r>
          </w:p>
        </w:tc>
        <w:tc>
          <w:tcPr>
            <w:tcW w:w="937" w:type="dxa"/>
          </w:tcPr>
          <w:p w14:paraId="5089F589">
            <w:pPr>
              <w:rPr>
                <w:rFonts w:cstheme="minorHAnsi"/>
                <w:sz w:val="18"/>
                <w:szCs w:val="18"/>
              </w:rPr>
            </w:pPr>
            <w:r>
              <w:rPr>
                <w:rFonts w:cstheme="minorHAnsi"/>
                <w:sz w:val="18"/>
                <w:szCs w:val="18"/>
              </w:rPr>
              <w:t>退税收入</w:t>
            </w:r>
          </w:p>
        </w:tc>
        <w:tc>
          <w:tcPr>
            <w:tcW w:w="1126" w:type="dxa"/>
            <w:vAlign w:val="center"/>
          </w:tcPr>
          <w:p w14:paraId="579D7796">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4F01A822">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0D9BF6BF">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3355C16C">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7BEA235F">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605BFD3A">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440E94E1">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7E724A69">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019D93B6">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15386072">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2ED8B927">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4B43D3F0">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04267A51">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532F223B">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915" w:type="dxa"/>
            <w:vAlign w:val="center"/>
          </w:tcPr>
          <w:p w14:paraId="52412319">
            <w:pPr>
              <w:jc w:val="center"/>
              <w:rPr>
                <w:rFonts w:cstheme="minorHAnsi"/>
                <w:color w:val="000000" w:themeColor="text1"/>
                <w:sz w:val="18"/>
                <w:szCs w:val="18"/>
                <w14:textFill>
                  <w14:solidFill>
                    <w14:schemeClr w14:val="tx1"/>
                  </w14:solidFill>
                </w14:textFill>
              </w:rPr>
            </w:pPr>
            <w:r>
              <w:rPr>
                <w:sz w:val="18"/>
                <w:szCs w:val="18"/>
              </w:rPr>
              <w:t xml:space="preserve"> 19.92 </w:t>
            </w:r>
          </w:p>
        </w:tc>
      </w:tr>
      <w:tr w14:paraId="2DFA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2" w:type="dxa"/>
          </w:tcPr>
          <w:p w14:paraId="32EA9E11">
            <w:pPr>
              <w:rPr>
                <w:rFonts w:cstheme="minorHAnsi"/>
                <w:sz w:val="18"/>
                <w:szCs w:val="18"/>
              </w:rPr>
            </w:pPr>
            <w:r>
              <w:rPr>
                <w:rFonts w:cstheme="minorHAnsi"/>
                <w:sz w:val="18"/>
                <w:szCs w:val="18"/>
              </w:rPr>
              <w:t>1.3</w:t>
            </w:r>
          </w:p>
        </w:tc>
        <w:tc>
          <w:tcPr>
            <w:tcW w:w="937" w:type="dxa"/>
          </w:tcPr>
          <w:p w14:paraId="6DBEC472">
            <w:pPr>
              <w:rPr>
                <w:rFonts w:cstheme="minorHAnsi"/>
                <w:sz w:val="18"/>
                <w:szCs w:val="18"/>
              </w:rPr>
            </w:pPr>
            <w:r>
              <w:rPr>
                <w:rFonts w:cstheme="minorHAnsi"/>
                <w:sz w:val="18"/>
                <w:szCs w:val="18"/>
              </w:rPr>
              <w:t>回收固定资产余值</w:t>
            </w:r>
          </w:p>
        </w:tc>
        <w:tc>
          <w:tcPr>
            <w:tcW w:w="1126" w:type="dxa"/>
            <w:vAlign w:val="center"/>
          </w:tcPr>
          <w:p w14:paraId="4A833430">
            <w:pPr>
              <w:jc w:val="center"/>
              <w:rPr>
                <w:rFonts w:cstheme="minorHAnsi"/>
                <w:color w:val="000000" w:themeColor="text1"/>
                <w:sz w:val="18"/>
                <w:szCs w:val="18"/>
                <w14:textFill>
                  <w14:solidFill>
                    <w14:schemeClr w14:val="tx1"/>
                  </w14:solidFill>
                </w14:textFill>
              </w:rPr>
            </w:pPr>
          </w:p>
        </w:tc>
        <w:tc>
          <w:tcPr>
            <w:tcW w:w="915" w:type="dxa"/>
            <w:vAlign w:val="center"/>
          </w:tcPr>
          <w:p w14:paraId="2675E922">
            <w:pPr>
              <w:jc w:val="center"/>
              <w:rPr>
                <w:rFonts w:cstheme="minorHAnsi"/>
                <w:color w:val="000000" w:themeColor="text1"/>
                <w:sz w:val="18"/>
                <w:szCs w:val="18"/>
                <w14:textFill>
                  <w14:solidFill>
                    <w14:schemeClr w14:val="tx1"/>
                  </w14:solidFill>
                </w14:textFill>
              </w:rPr>
            </w:pPr>
          </w:p>
        </w:tc>
        <w:tc>
          <w:tcPr>
            <w:tcW w:w="915" w:type="dxa"/>
            <w:vAlign w:val="center"/>
          </w:tcPr>
          <w:p w14:paraId="147D9313">
            <w:pPr>
              <w:jc w:val="center"/>
              <w:rPr>
                <w:rFonts w:cstheme="minorHAnsi"/>
                <w:color w:val="000000" w:themeColor="text1"/>
                <w:sz w:val="18"/>
                <w:szCs w:val="18"/>
                <w14:textFill>
                  <w14:solidFill>
                    <w14:schemeClr w14:val="tx1"/>
                  </w14:solidFill>
                </w14:textFill>
              </w:rPr>
            </w:pPr>
          </w:p>
        </w:tc>
        <w:tc>
          <w:tcPr>
            <w:tcW w:w="915" w:type="dxa"/>
            <w:vAlign w:val="center"/>
          </w:tcPr>
          <w:p w14:paraId="307FEB96">
            <w:pPr>
              <w:jc w:val="center"/>
              <w:rPr>
                <w:rFonts w:cstheme="minorHAnsi"/>
                <w:color w:val="000000" w:themeColor="text1"/>
                <w:sz w:val="18"/>
                <w:szCs w:val="18"/>
                <w14:textFill>
                  <w14:solidFill>
                    <w14:schemeClr w14:val="tx1"/>
                  </w14:solidFill>
                </w14:textFill>
              </w:rPr>
            </w:pPr>
          </w:p>
        </w:tc>
        <w:tc>
          <w:tcPr>
            <w:tcW w:w="915" w:type="dxa"/>
            <w:vAlign w:val="center"/>
          </w:tcPr>
          <w:p w14:paraId="367DAF5C">
            <w:pPr>
              <w:jc w:val="center"/>
              <w:rPr>
                <w:rFonts w:cstheme="minorHAnsi"/>
                <w:color w:val="000000" w:themeColor="text1"/>
                <w:sz w:val="18"/>
                <w:szCs w:val="18"/>
                <w14:textFill>
                  <w14:solidFill>
                    <w14:schemeClr w14:val="tx1"/>
                  </w14:solidFill>
                </w14:textFill>
              </w:rPr>
            </w:pPr>
          </w:p>
        </w:tc>
        <w:tc>
          <w:tcPr>
            <w:tcW w:w="915" w:type="dxa"/>
            <w:vAlign w:val="center"/>
          </w:tcPr>
          <w:p w14:paraId="0EBD3C69">
            <w:pPr>
              <w:jc w:val="center"/>
              <w:rPr>
                <w:rFonts w:cstheme="minorHAnsi"/>
                <w:color w:val="000000" w:themeColor="text1"/>
                <w:sz w:val="18"/>
                <w:szCs w:val="18"/>
                <w14:textFill>
                  <w14:solidFill>
                    <w14:schemeClr w14:val="tx1"/>
                  </w14:solidFill>
                </w14:textFill>
              </w:rPr>
            </w:pPr>
          </w:p>
        </w:tc>
        <w:tc>
          <w:tcPr>
            <w:tcW w:w="915" w:type="dxa"/>
            <w:vAlign w:val="center"/>
          </w:tcPr>
          <w:p w14:paraId="0CC32F69">
            <w:pPr>
              <w:jc w:val="center"/>
              <w:rPr>
                <w:rFonts w:cstheme="minorHAnsi"/>
                <w:color w:val="000000" w:themeColor="text1"/>
                <w:sz w:val="18"/>
                <w:szCs w:val="18"/>
                <w14:textFill>
                  <w14:solidFill>
                    <w14:schemeClr w14:val="tx1"/>
                  </w14:solidFill>
                </w14:textFill>
              </w:rPr>
            </w:pPr>
          </w:p>
        </w:tc>
        <w:tc>
          <w:tcPr>
            <w:tcW w:w="915" w:type="dxa"/>
            <w:vAlign w:val="center"/>
          </w:tcPr>
          <w:p w14:paraId="36FE8984">
            <w:pPr>
              <w:jc w:val="center"/>
              <w:rPr>
                <w:rFonts w:cstheme="minorHAnsi"/>
                <w:color w:val="000000" w:themeColor="text1"/>
                <w:sz w:val="18"/>
                <w:szCs w:val="18"/>
                <w14:textFill>
                  <w14:solidFill>
                    <w14:schemeClr w14:val="tx1"/>
                  </w14:solidFill>
                </w14:textFill>
              </w:rPr>
            </w:pPr>
          </w:p>
        </w:tc>
        <w:tc>
          <w:tcPr>
            <w:tcW w:w="915" w:type="dxa"/>
            <w:vAlign w:val="center"/>
          </w:tcPr>
          <w:p w14:paraId="5DEE5389">
            <w:pPr>
              <w:jc w:val="center"/>
              <w:rPr>
                <w:rFonts w:cstheme="minorHAnsi"/>
                <w:color w:val="000000" w:themeColor="text1"/>
                <w:sz w:val="18"/>
                <w:szCs w:val="18"/>
                <w14:textFill>
                  <w14:solidFill>
                    <w14:schemeClr w14:val="tx1"/>
                  </w14:solidFill>
                </w14:textFill>
              </w:rPr>
            </w:pPr>
          </w:p>
        </w:tc>
        <w:tc>
          <w:tcPr>
            <w:tcW w:w="915" w:type="dxa"/>
            <w:vAlign w:val="center"/>
          </w:tcPr>
          <w:p w14:paraId="1B078CA8">
            <w:pPr>
              <w:jc w:val="center"/>
              <w:rPr>
                <w:rFonts w:cstheme="minorHAnsi"/>
                <w:color w:val="000000" w:themeColor="text1"/>
                <w:sz w:val="18"/>
                <w:szCs w:val="18"/>
                <w14:textFill>
                  <w14:solidFill>
                    <w14:schemeClr w14:val="tx1"/>
                  </w14:solidFill>
                </w14:textFill>
              </w:rPr>
            </w:pPr>
          </w:p>
        </w:tc>
        <w:tc>
          <w:tcPr>
            <w:tcW w:w="915" w:type="dxa"/>
            <w:vAlign w:val="center"/>
          </w:tcPr>
          <w:p w14:paraId="0BABD35D">
            <w:pPr>
              <w:jc w:val="center"/>
              <w:rPr>
                <w:rFonts w:cstheme="minorHAnsi"/>
                <w:color w:val="000000" w:themeColor="text1"/>
                <w:sz w:val="18"/>
                <w:szCs w:val="18"/>
                <w14:textFill>
                  <w14:solidFill>
                    <w14:schemeClr w14:val="tx1"/>
                  </w14:solidFill>
                </w14:textFill>
              </w:rPr>
            </w:pPr>
          </w:p>
        </w:tc>
        <w:tc>
          <w:tcPr>
            <w:tcW w:w="915" w:type="dxa"/>
            <w:vAlign w:val="center"/>
          </w:tcPr>
          <w:p w14:paraId="59D85174">
            <w:pPr>
              <w:jc w:val="center"/>
              <w:rPr>
                <w:rFonts w:cstheme="minorHAnsi"/>
                <w:color w:val="000000" w:themeColor="text1"/>
                <w:sz w:val="18"/>
                <w:szCs w:val="18"/>
                <w14:textFill>
                  <w14:solidFill>
                    <w14:schemeClr w14:val="tx1"/>
                  </w14:solidFill>
                </w14:textFill>
              </w:rPr>
            </w:pPr>
          </w:p>
        </w:tc>
        <w:tc>
          <w:tcPr>
            <w:tcW w:w="915" w:type="dxa"/>
            <w:vAlign w:val="center"/>
          </w:tcPr>
          <w:p w14:paraId="5AB9B198">
            <w:pPr>
              <w:jc w:val="center"/>
              <w:rPr>
                <w:rFonts w:cstheme="minorHAnsi"/>
                <w:color w:val="000000" w:themeColor="text1"/>
                <w:sz w:val="18"/>
                <w:szCs w:val="18"/>
                <w14:textFill>
                  <w14:solidFill>
                    <w14:schemeClr w14:val="tx1"/>
                  </w14:solidFill>
                </w14:textFill>
              </w:rPr>
            </w:pPr>
          </w:p>
        </w:tc>
        <w:tc>
          <w:tcPr>
            <w:tcW w:w="915" w:type="dxa"/>
            <w:vAlign w:val="center"/>
          </w:tcPr>
          <w:p w14:paraId="20DF07FC">
            <w:pPr>
              <w:jc w:val="center"/>
              <w:rPr>
                <w:rFonts w:cstheme="minorHAnsi"/>
                <w:color w:val="000000" w:themeColor="text1"/>
                <w:sz w:val="18"/>
                <w:szCs w:val="18"/>
                <w14:textFill>
                  <w14:solidFill>
                    <w14:schemeClr w14:val="tx1"/>
                  </w14:solidFill>
                </w14:textFill>
              </w:rPr>
            </w:pPr>
          </w:p>
        </w:tc>
        <w:tc>
          <w:tcPr>
            <w:tcW w:w="915" w:type="dxa"/>
            <w:vAlign w:val="center"/>
          </w:tcPr>
          <w:p w14:paraId="27421A60">
            <w:pPr>
              <w:jc w:val="center"/>
              <w:rPr>
                <w:rFonts w:cstheme="minorHAnsi"/>
                <w:color w:val="000000" w:themeColor="text1"/>
                <w:sz w:val="18"/>
                <w:szCs w:val="18"/>
                <w14:textFill>
                  <w14:solidFill>
                    <w14:schemeClr w14:val="tx1"/>
                  </w14:solidFill>
                </w14:textFill>
              </w:rPr>
            </w:pPr>
          </w:p>
        </w:tc>
      </w:tr>
      <w:tr w14:paraId="4F2B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22" w:type="dxa"/>
          </w:tcPr>
          <w:p w14:paraId="0405000E">
            <w:pPr>
              <w:rPr>
                <w:rFonts w:cstheme="minorHAnsi"/>
                <w:sz w:val="18"/>
                <w:szCs w:val="18"/>
              </w:rPr>
            </w:pPr>
            <w:r>
              <w:rPr>
                <w:rFonts w:cstheme="minorHAnsi"/>
                <w:sz w:val="18"/>
                <w:szCs w:val="18"/>
              </w:rPr>
              <w:t>1.4</w:t>
            </w:r>
          </w:p>
        </w:tc>
        <w:tc>
          <w:tcPr>
            <w:tcW w:w="937" w:type="dxa"/>
          </w:tcPr>
          <w:p w14:paraId="4EDFC79E">
            <w:pPr>
              <w:rPr>
                <w:rFonts w:cstheme="minorHAnsi"/>
                <w:sz w:val="18"/>
                <w:szCs w:val="18"/>
              </w:rPr>
            </w:pPr>
            <w:r>
              <w:rPr>
                <w:rFonts w:cstheme="minorHAnsi"/>
                <w:sz w:val="18"/>
                <w:szCs w:val="18"/>
              </w:rPr>
              <w:t>回收流动资金</w:t>
            </w:r>
          </w:p>
        </w:tc>
        <w:tc>
          <w:tcPr>
            <w:tcW w:w="1126" w:type="dxa"/>
            <w:vAlign w:val="center"/>
          </w:tcPr>
          <w:p w14:paraId="79F9CA84">
            <w:pPr>
              <w:jc w:val="center"/>
              <w:rPr>
                <w:rFonts w:cstheme="minorHAnsi"/>
                <w:color w:val="000000" w:themeColor="text1"/>
                <w:sz w:val="18"/>
                <w:szCs w:val="18"/>
                <w14:textFill>
                  <w14:solidFill>
                    <w14:schemeClr w14:val="tx1"/>
                  </w14:solidFill>
                </w14:textFill>
              </w:rPr>
            </w:pPr>
          </w:p>
        </w:tc>
        <w:tc>
          <w:tcPr>
            <w:tcW w:w="915" w:type="dxa"/>
            <w:vAlign w:val="center"/>
          </w:tcPr>
          <w:p w14:paraId="7EDB2D26">
            <w:pPr>
              <w:jc w:val="center"/>
              <w:rPr>
                <w:rFonts w:cstheme="minorHAnsi"/>
                <w:color w:val="000000" w:themeColor="text1"/>
                <w:sz w:val="18"/>
                <w:szCs w:val="18"/>
                <w14:textFill>
                  <w14:solidFill>
                    <w14:schemeClr w14:val="tx1"/>
                  </w14:solidFill>
                </w14:textFill>
              </w:rPr>
            </w:pPr>
          </w:p>
        </w:tc>
        <w:tc>
          <w:tcPr>
            <w:tcW w:w="915" w:type="dxa"/>
            <w:vAlign w:val="center"/>
          </w:tcPr>
          <w:p w14:paraId="39600D1B">
            <w:pPr>
              <w:jc w:val="center"/>
              <w:rPr>
                <w:rFonts w:cstheme="minorHAnsi"/>
                <w:color w:val="000000" w:themeColor="text1"/>
                <w:sz w:val="18"/>
                <w:szCs w:val="18"/>
                <w14:textFill>
                  <w14:solidFill>
                    <w14:schemeClr w14:val="tx1"/>
                  </w14:solidFill>
                </w14:textFill>
              </w:rPr>
            </w:pPr>
          </w:p>
        </w:tc>
        <w:tc>
          <w:tcPr>
            <w:tcW w:w="915" w:type="dxa"/>
            <w:vAlign w:val="center"/>
          </w:tcPr>
          <w:p w14:paraId="34E399DA">
            <w:pPr>
              <w:jc w:val="center"/>
              <w:rPr>
                <w:rFonts w:cstheme="minorHAnsi"/>
                <w:color w:val="000000" w:themeColor="text1"/>
                <w:sz w:val="18"/>
                <w:szCs w:val="18"/>
                <w14:textFill>
                  <w14:solidFill>
                    <w14:schemeClr w14:val="tx1"/>
                  </w14:solidFill>
                </w14:textFill>
              </w:rPr>
            </w:pPr>
          </w:p>
        </w:tc>
        <w:tc>
          <w:tcPr>
            <w:tcW w:w="915" w:type="dxa"/>
            <w:vAlign w:val="center"/>
          </w:tcPr>
          <w:p w14:paraId="1A922042">
            <w:pPr>
              <w:jc w:val="center"/>
              <w:rPr>
                <w:rFonts w:cstheme="minorHAnsi"/>
                <w:color w:val="000000" w:themeColor="text1"/>
                <w:sz w:val="18"/>
                <w:szCs w:val="18"/>
                <w14:textFill>
                  <w14:solidFill>
                    <w14:schemeClr w14:val="tx1"/>
                  </w14:solidFill>
                </w14:textFill>
              </w:rPr>
            </w:pPr>
          </w:p>
        </w:tc>
        <w:tc>
          <w:tcPr>
            <w:tcW w:w="915" w:type="dxa"/>
            <w:vAlign w:val="center"/>
          </w:tcPr>
          <w:p w14:paraId="72EC3234">
            <w:pPr>
              <w:jc w:val="center"/>
              <w:rPr>
                <w:rFonts w:cstheme="minorHAnsi"/>
                <w:color w:val="000000" w:themeColor="text1"/>
                <w:sz w:val="18"/>
                <w:szCs w:val="18"/>
                <w14:textFill>
                  <w14:solidFill>
                    <w14:schemeClr w14:val="tx1"/>
                  </w14:solidFill>
                </w14:textFill>
              </w:rPr>
            </w:pPr>
          </w:p>
        </w:tc>
        <w:tc>
          <w:tcPr>
            <w:tcW w:w="915" w:type="dxa"/>
            <w:vAlign w:val="center"/>
          </w:tcPr>
          <w:p w14:paraId="6A4EF7DD">
            <w:pPr>
              <w:jc w:val="center"/>
              <w:rPr>
                <w:rFonts w:cstheme="minorHAnsi"/>
                <w:color w:val="000000" w:themeColor="text1"/>
                <w:sz w:val="18"/>
                <w:szCs w:val="18"/>
                <w14:textFill>
                  <w14:solidFill>
                    <w14:schemeClr w14:val="tx1"/>
                  </w14:solidFill>
                </w14:textFill>
              </w:rPr>
            </w:pPr>
          </w:p>
        </w:tc>
        <w:tc>
          <w:tcPr>
            <w:tcW w:w="915" w:type="dxa"/>
            <w:vAlign w:val="center"/>
          </w:tcPr>
          <w:p w14:paraId="7287C69A">
            <w:pPr>
              <w:jc w:val="center"/>
              <w:rPr>
                <w:rFonts w:cstheme="minorHAnsi"/>
                <w:color w:val="000000" w:themeColor="text1"/>
                <w:sz w:val="18"/>
                <w:szCs w:val="18"/>
                <w14:textFill>
                  <w14:solidFill>
                    <w14:schemeClr w14:val="tx1"/>
                  </w14:solidFill>
                </w14:textFill>
              </w:rPr>
            </w:pPr>
          </w:p>
        </w:tc>
        <w:tc>
          <w:tcPr>
            <w:tcW w:w="915" w:type="dxa"/>
            <w:vAlign w:val="center"/>
          </w:tcPr>
          <w:p w14:paraId="5DDB02AC">
            <w:pPr>
              <w:jc w:val="center"/>
              <w:rPr>
                <w:rFonts w:cstheme="minorHAnsi"/>
                <w:color w:val="000000" w:themeColor="text1"/>
                <w:sz w:val="18"/>
                <w:szCs w:val="18"/>
                <w14:textFill>
                  <w14:solidFill>
                    <w14:schemeClr w14:val="tx1"/>
                  </w14:solidFill>
                </w14:textFill>
              </w:rPr>
            </w:pPr>
          </w:p>
        </w:tc>
        <w:tc>
          <w:tcPr>
            <w:tcW w:w="915" w:type="dxa"/>
            <w:vAlign w:val="center"/>
          </w:tcPr>
          <w:p w14:paraId="36025CB9">
            <w:pPr>
              <w:jc w:val="center"/>
              <w:rPr>
                <w:rFonts w:cstheme="minorHAnsi"/>
                <w:color w:val="000000" w:themeColor="text1"/>
                <w:sz w:val="18"/>
                <w:szCs w:val="18"/>
                <w14:textFill>
                  <w14:solidFill>
                    <w14:schemeClr w14:val="tx1"/>
                  </w14:solidFill>
                </w14:textFill>
              </w:rPr>
            </w:pPr>
          </w:p>
        </w:tc>
        <w:tc>
          <w:tcPr>
            <w:tcW w:w="915" w:type="dxa"/>
            <w:vAlign w:val="center"/>
          </w:tcPr>
          <w:p w14:paraId="13ABEFB0">
            <w:pPr>
              <w:jc w:val="center"/>
              <w:rPr>
                <w:rFonts w:cstheme="minorHAnsi"/>
                <w:color w:val="000000" w:themeColor="text1"/>
                <w:sz w:val="18"/>
                <w:szCs w:val="18"/>
                <w14:textFill>
                  <w14:solidFill>
                    <w14:schemeClr w14:val="tx1"/>
                  </w14:solidFill>
                </w14:textFill>
              </w:rPr>
            </w:pPr>
          </w:p>
        </w:tc>
        <w:tc>
          <w:tcPr>
            <w:tcW w:w="915" w:type="dxa"/>
            <w:vAlign w:val="center"/>
          </w:tcPr>
          <w:p w14:paraId="4616FB8B">
            <w:pPr>
              <w:jc w:val="center"/>
              <w:rPr>
                <w:rFonts w:cstheme="minorHAnsi"/>
                <w:color w:val="000000" w:themeColor="text1"/>
                <w:sz w:val="18"/>
                <w:szCs w:val="18"/>
                <w14:textFill>
                  <w14:solidFill>
                    <w14:schemeClr w14:val="tx1"/>
                  </w14:solidFill>
                </w14:textFill>
              </w:rPr>
            </w:pPr>
          </w:p>
        </w:tc>
        <w:tc>
          <w:tcPr>
            <w:tcW w:w="915" w:type="dxa"/>
            <w:vAlign w:val="center"/>
          </w:tcPr>
          <w:p w14:paraId="7ABCDDB5">
            <w:pPr>
              <w:jc w:val="center"/>
              <w:rPr>
                <w:rFonts w:cstheme="minorHAnsi"/>
                <w:color w:val="000000" w:themeColor="text1"/>
                <w:sz w:val="18"/>
                <w:szCs w:val="18"/>
                <w14:textFill>
                  <w14:solidFill>
                    <w14:schemeClr w14:val="tx1"/>
                  </w14:solidFill>
                </w14:textFill>
              </w:rPr>
            </w:pPr>
          </w:p>
        </w:tc>
        <w:tc>
          <w:tcPr>
            <w:tcW w:w="915" w:type="dxa"/>
            <w:vAlign w:val="center"/>
          </w:tcPr>
          <w:p w14:paraId="3A925D45">
            <w:pPr>
              <w:jc w:val="center"/>
              <w:rPr>
                <w:rFonts w:cstheme="minorHAnsi"/>
                <w:color w:val="000000" w:themeColor="text1"/>
                <w:sz w:val="18"/>
                <w:szCs w:val="18"/>
                <w14:textFill>
                  <w14:solidFill>
                    <w14:schemeClr w14:val="tx1"/>
                  </w14:solidFill>
                </w14:textFill>
              </w:rPr>
            </w:pPr>
          </w:p>
        </w:tc>
        <w:tc>
          <w:tcPr>
            <w:tcW w:w="915" w:type="dxa"/>
            <w:vAlign w:val="center"/>
          </w:tcPr>
          <w:p w14:paraId="1C10E4EE">
            <w:pPr>
              <w:jc w:val="center"/>
              <w:rPr>
                <w:rFonts w:cstheme="minorHAnsi"/>
                <w:color w:val="000000" w:themeColor="text1"/>
                <w:sz w:val="18"/>
                <w:szCs w:val="18"/>
                <w14:textFill>
                  <w14:solidFill>
                    <w14:schemeClr w14:val="tx1"/>
                  </w14:solidFill>
                </w14:textFill>
              </w:rPr>
            </w:pPr>
          </w:p>
        </w:tc>
      </w:tr>
      <w:tr w14:paraId="03B2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22" w:type="dxa"/>
          </w:tcPr>
          <w:p w14:paraId="46BD3AA5">
            <w:pPr>
              <w:rPr>
                <w:rFonts w:cstheme="minorHAnsi"/>
                <w:sz w:val="18"/>
                <w:szCs w:val="18"/>
              </w:rPr>
            </w:pPr>
            <w:r>
              <w:rPr>
                <w:rFonts w:cstheme="minorHAnsi"/>
                <w:sz w:val="18"/>
                <w:szCs w:val="18"/>
              </w:rPr>
              <w:t>2</w:t>
            </w:r>
          </w:p>
        </w:tc>
        <w:tc>
          <w:tcPr>
            <w:tcW w:w="937" w:type="dxa"/>
          </w:tcPr>
          <w:p w14:paraId="647FA45B">
            <w:pPr>
              <w:rPr>
                <w:rFonts w:cstheme="minorHAnsi"/>
                <w:sz w:val="18"/>
                <w:szCs w:val="18"/>
              </w:rPr>
            </w:pPr>
            <w:r>
              <w:rPr>
                <w:rFonts w:cstheme="minorHAnsi"/>
                <w:sz w:val="18"/>
                <w:szCs w:val="18"/>
              </w:rPr>
              <w:t>现金流出</w:t>
            </w:r>
          </w:p>
        </w:tc>
        <w:tc>
          <w:tcPr>
            <w:tcW w:w="1126" w:type="dxa"/>
          </w:tcPr>
          <w:p w14:paraId="0FD11DCA">
            <w:pPr>
              <w:jc w:val="center"/>
              <w:rPr>
                <w:rFonts w:cstheme="minorHAnsi"/>
                <w:sz w:val="18"/>
                <w:szCs w:val="18"/>
              </w:rPr>
            </w:pPr>
            <w:r>
              <w:rPr>
                <w:sz w:val="18"/>
                <w:szCs w:val="18"/>
              </w:rPr>
              <w:t xml:space="preserve"> 11,288.12 </w:t>
            </w:r>
          </w:p>
        </w:tc>
        <w:tc>
          <w:tcPr>
            <w:tcW w:w="915" w:type="dxa"/>
          </w:tcPr>
          <w:p w14:paraId="647082FB">
            <w:pPr>
              <w:jc w:val="center"/>
              <w:rPr>
                <w:rFonts w:cstheme="minorHAnsi"/>
                <w:sz w:val="18"/>
                <w:szCs w:val="18"/>
              </w:rPr>
            </w:pPr>
            <w:r>
              <w:rPr>
                <w:sz w:val="18"/>
                <w:szCs w:val="18"/>
              </w:rPr>
              <w:t xml:space="preserve"> 288.12 </w:t>
            </w:r>
          </w:p>
        </w:tc>
        <w:tc>
          <w:tcPr>
            <w:tcW w:w="915" w:type="dxa"/>
          </w:tcPr>
          <w:p w14:paraId="4B5DC4A7">
            <w:pPr>
              <w:jc w:val="center"/>
              <w:rPr>
                <w:rFonts w:cstheme="minorHAnsi"/>
                <w:sz w:val="18"/>
                <w:szCs w:val="18"/>
              </w:rPr>
            </w:pPr>
            <w:r>
              <w:rPr>
                <w:sz w:val="18"/>
                <w:szCs w:val="18"/>
              </w:rPr>
              <w:t xml:space="preserve"> 288.12 </w:t>
            </w:r>
          </w:p>
        </w:tc>
        <w:tc>
          <w:tcPr>
            <w:tcW w:w="915" w:type="dxa"/>
          </w:tcPr>
          <w:p w14:paraId="674E22F7">
            <w:pPr>
              <w:jc w:val="center"/>
              <w:rPr>
                <w:rFonts w:cstheme="minorHAnsi"/>
                <w:sz w:val="18"/>
                <w:szCs w:val="18"/>
              </w:rPr>
            </w:pPr>
            <w:r>
              <w:rPr>
                <w:sz w:val="18"/>
                <w:szCs w:val="18"/>
              </w:rPr>
              <w:t xml:space="preserve"> 288.12 </w:t>
            </w:r>
          </w:p>
        </w:tc>
        <w:tc>
          <w:tcPr>
            <w:tcW w:w="915" w:type="dxa"/>
          </w:tcPr>
          <w:p w14:paraId="3BA057F0">
            <w:pPr>
              <w:jc w:val="center"/>
              <w:rPr>
                <w:rFonts w:cstheme="minorHAnsi"/>
                <w:sz w:val="18"/>
                <w:szCs w:val="18"/>
              </w:rPr>
            </w:pPr>
            <w:r>
              <w:rPr>
                <w:sz w:val="18"/>
                <w:szCs w:val="18"/>
              </w:rPr>
              <w:t xml:space="preserve"> 288.12 </w:t>
            </w:r>
          </w:p>
        </w:tc>
        <w:tc>
          <w:tcPr>
            <w:tcW w:w="915" w:type="dxa"/>
          </w:tcPr>
          <w:p w14:paraId="115A75D8">
            <w:pPr>
              <w:jc w:val="center"/>
              <w:rPr>
                <w:rFonts w:cstheme="minorHAnsi"/>
                <w:sz w:val="18"/>
                <w:szCs w:val="18"/>
              </w:rPr>
            </w:pPr>
            <w:r>
              <w:rPr>
                <w:sz w:val="18"/>
                <w:szCs w:val="18"/>
              </w:rPr>
              <w:t xml:space="preserve"> 288.12 </w:t>
            </w:r>
          </w:p>
        </w:tc>
        <w:tc>
          <w:tcPr>
            <w:tcW w:w="915" w:type="dxa"/>
          </w:tcPr>
          <w:p w14:paraId="5667A946">
            <w:pPr>
              <w:jc w:val="center"/>
              <w:rPr>
                <w:rFonts w:cstheme="minorHAnsi"/>
                <w:sz w:val="18"/>
                <w:szCs w:val="18"/>
              </w:rPr>
            </w:pPr>
            <w:r>
              <w:rPr>
                <w:sz w:val="18"/>
                <w:szCs w:val="18"/>
              </w:rPr>
              <w:t xml:space="preserve"> 288.12 </w:t>
            </w:r>
          </w:p>
        </w:tc>
        <w:tc>
          <w:tcPr>
            <w:tcW w:w="915" w:type="dxa"/>
          </w:tcPr>
          <w:p w14:paraId="61D5B90C">
            <w:pPr>
              <w:jc w:val="center"/>
              <w:rPr>
                <w:rFonts w:cstheme="minorHAnsi"/>
                <w:sz w:val="18"/>
                <w:szCs w:val="18"/>
              </w:rPr>
            </w:pPr>
            <w:r>
              <w:rPr>
                <w:sz w:val="18"/>
                <w:szCs w:val="18"/>
              </w:rPr>
              <w:t xml:space="preserve"> 288.12 </w:t>
            </w:r>
          </w:p>
        </w:tc>
        <w:tc>
          <w:tcPr>
            <w:tcW w:w="915" w:type="dxa"/>
          </w:tcPr>
          <w:p w14:paraId="5F28DA4C">
            <w:pPr>
              <w:jc w:val="center"/>
              <w:rPr>
                <w:rFonts w:cstheme="minorHAnsi"/>
                <w:sz w:val="18"/>
                <w:szCs w:val="18"/>
              </w:rPr>
            </w:pPr>
            <w:r>
              <w:rPr>
                <w:sz w:val="18"/>
                <w:szCs w:val="18"/>
              </w:rPr>
              <w:t xml:space="preserve"> 288.12 </w:t>
            </w:r>
          </w:p>
        </w:tc>
        <w:tc>
          <w:tcPr>
            <w:tcW w:w="915" w:type="dxa"/>
          </w:tcPr>
          <w:p w14:paraId="3D4B86C0">
            <w:pPr>
              <w:jc w:val="center"/>
              <w:rPr>
                <w:rFonts w:cstheme="minorHAnsi"/>
                <w:sz w:val="18"/>
                <w:szCs w:val="18"/>
              </w:rPr>
            </w:pPr>
            <w:r>
              <w:rPr>
                <w:sz w:val="18"/>
                <w:szCs w:val="18"/>
              </w:rPr>
              <w:t xml:space="preserve"> 288.12 </w:t>
            </w:r>
          </w:p>
        </w:tc>
        <w:tc>
          <w:tcPr>
            <w:tcW w:w="915" w:type="dxa"/>
          </w:tcPr>
          <w:p w14:paraId="157D583B">
            <w:pPr>
              <w:jc w:val="center"/>
              <w:rPr>
                <w:rFonts w:cstheme="minorHAnsi"/>
                <w:sz w:val="18"/>
                <w:szCs w:val="18"/>
              </w:rPr>
            </w:pPr>
            <w:r>
              <w:rPr>
                <w:sz w:val="18"/>
                <w:szCs w:val="18"/>
              </w:rPr>
              <w:t xml:space="preserve"> 288.12 </w:t>
            </w:r>
          </w:p>
        </w:tc>
        <w:tc>
          <w:tcPr>
            <w:tcW w:w="915" w:type="dxa"/>
          </w:tcPr>
          <w:p w14:paraId="04AE992B">
            <w:pPr>
              <w:jc w:val="center"/>
              <w:rPr>
                <w:rFonts w:cstheme="minorHAnsi"/>
                <w:sz w:val="18"/>
                <w:szCs w:val="18"/>
              </w:rPr>
            </w:pPr>
            <w:r>
              <w:rPr>
                <w:sz w:val="18"/>
                <w:szCs w:val="18"/>
              </w:rPr>
              <w:t xml:space="preserve"> 288.12 </w:t>
            </w:r>
          </w:p>
        </w:tc>
        <w:tc>
          <w:tcPr>
            <w:tcW w:w="915" w:type="dxa"/>
          </w:tcPr>
          <w:p w14:paraId="3936AFE8">
            <w:pPr>
              <w:jc w:val="center"/>
              <w:rPr>
                <w:rFonts w:cstheme="minorHAnsi"/>
                <w:sz w:val="18"/>
                <w:szCs w:val="18"/>
              </w:rPr>
            </w:pPr>
            <w:r>
              <w:rPr>
                <w:sz w:val="18"/>
                <w:szCs w:val="18"/>
              </w:rPr>
              <w:t xml:space="preserve"> 288.12 </w:t>
            </w:r>
          </w:p>
        </w:tc>
        <w:tc>
          <w:tcPr>
            <w:tcW w:w="915" w:type="dxa"/>
          </w:tcPr>
          <w:p w14:paraId="02073459">
            <w:pPr>
              <w:jc w:val="center"/>
              <w:rPr>
                <w:rFonts w:cstheme="minorHAnsi"/>
                <w:sz w:val="18"/>
                <w:szCs w:val="18"/>
              </w:rPr>
            </w:pPr>
            <w:r>
              <w:rPr>
                <w:sz w:val="18"/>
                <w:szCs w:val="18"/>
              </w:rPr>
              <w:t xml:space="preserve"> 288.12 </w:t>
            </w:r>
          </w:p>
        </w:tc>
        <w:tc>
          <w:tcPr>
            <w:tcW w:w="915" w:type="dxa"/>
          </w:tcPr>
          <w:p w14:paraId="696FDE5F">
            <w:pPr>
              <w:jc w:val="center"/>
              <w:rPr>
                <w:rFonts w:cstheme="minorHAnsi"/>
                <w:sz w:val="18"/>
                <w:szCs w:val="18"/>
              </w:rPr>
            </w:pPr>
            <w:r>
              <w:rPr>
                <w:sz w:val="18"/>
                <w:szCs w:val="18"/>
              </w:rPr>
              <w:t xml:space="preserve"> 288.12 </w:t>
            </w:r>
          </w:p>
        </w:tc>
      </w:tr>
      <w:tr w14:paraId="6EF5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2" w:type="dxa"/>
          </w:tcPr>
          <w:p w14:paraId="209BC00B">
            <w:pPr>
              <w:rPr>
                <w:rFonts w:cstheme="minorHAnsi"/>
                <w:sz w:val="18"/>
                <w:szCs w:val="18"/>
              </w:rPr>
            </w:pPr>
            <w:r>
              <w:rPr>
                <w:rFonts w:cstheme="minorHAnsi"/>
                <w:sz w:val="18"/>
                <w:szCs w:val="18"/>
              </w:rPr>
              <w:t>2.1</w:t>
            </w:r>
          </w:p>
        </w:tc>
        <w:tc>
          <w:tcPr>
            <w:tcW w:w="937" w:type="dxa"/>
          </w:tcPr>
          <w:p w14:paraId="12232709">
            <w:pPr>
              <w:rPr>
                <w:rFonts w:cstheme="minorHAnsi"/>
                <w:sz w:val="18"/>
                <w:szCs w:val="18"/>
              </w:rPr>
            </w:pPr>
            <w:r>
              <w:rPr>
                <w:rFonts w:cstheme="minorHAnsi"/>
                <w:sz w:val="18"/>
                <w:szCs w:val="18"/>
              </w:rPr>
              <w:t>初始投资</w:t>
            </w:r>
          </w:p>
        </w:tc>
        <w:tc>
          <w:tcPr>
            <w:tcW w:w="1126" w:type="dxa"/>
          </w:tcPr>
          <w:p w14:paraId="699D5138">
            <w:pPr>
              <w:jc w:val="center"/>
              <w:rPr>
                <w:rFonts w:cstheme="minorHAnsi"/>
                <w:sz w:val="18"/>
                <w:szCs w:val="18"/>
              </w:rPr>
            </w:pPr>
            <w:r>
              <w:rPr>
                <w:sz w:val="18"/>
                <w:szCs w:val="18"/>
              </w:rPr>
              <w:t xml:space="preserve"> 11,000.00 </w:t>
            </w:r>
          </w:p>
        </w:tc>
        <w:tc>
          <w:tcPr>
            <w:tcW w:w="915" w:type="dxa"/>
          </w:tcPr>
          <w:p w14:paraId="5341C016">
            <w:pPr>
              <w:jc w:val="center"/>
              <w:rPr>
                <w:rFonts w:cstheme="minorHAnsi"/>
                <w:sz w:val="18"/>
                <w:szCs w:val="18"/>
              </w:rPr>
            </w:pPr>
          </w:p>
        </w:tc>
        <w:tc>
          <w:tcPr>
            <w:tcW w:w="915" w:type="dxa"/>
          </w:tcPr>
          <w:p w14:paraId="1C72F7AB">
            <w:pPr>
              <w:jc w:val="center"/>
              <w:rPr>
                <w:rFonts w:cstheme="minorHAnsi"/>
                <w:sz w:val="18"/>
                <w:szCs w:val="18"/>
              </w:rPr>
            </w:pPr>
          </w:p>
        </w:tc>
        <w:tc>
          <w:tcPr>
            <w:tcW w:w="915" w:type="dxa"/>
          </w:tcPr>
          <w:p w14:paraId="01940F46">
            <w:pPr>
              <w:jc w:val="center"/>
              <w:rPr>
                <w:rFonts w:cstheme="minorHAnsi"/>
                <w:sz w:val="18"/>
                <w:szCs w:val="18"/>
              </w:rPr>
            </w:pPr>
          </w:p>
        </w:tc>
        <w:tc>
          <w:tcPr>
            <w:tcW w:w="915" w:type="dxa"/>
          </w:tcPr>
          <w:p w14:paraId="281AB417">
            <w:pPr>
              <w:jc w:val="center"/>
              <w:rPr>
                <w:rFonts w:cstheme="minorHAnsi"/>
                <w:sz w:val="18"/>
                <w:szCs w:val="18"/>
              </w:rPr>
            </w:pPr>
          </w:p>
        </w:tc>
        <w:tc>
          <w:tcPr>
            <w:tcW w:w="915" w:type="dxa"/>
          </w:tcPr>
          <w:p w14:paraId="237BB106">
            <w:pPr>
              <w:jc w:val="center"/>
              <w:rPr>
                <w:rFonts w:cstheme="minorHAnsi"/>
                <w:sz w:val="18"/>
                <w:szCs w:val="18"/>
              </w:rPr>
            </w:pPr>
          </w:p>
        </w:tc>
        <w:tc>
          <w:tcPr>
            <w:tcW w:w="915" w:type="dxa"/>
          </w:tcPr>
          <w:p w14:paraId="5B42E9EA">
            <w:pPr>
              <w:jc w:val="center"/>
              <w:rPr>
                <w:rFonts w:cstheme="minorHAnsi"/>
                <w:sz w:val="18"/>
                <w:szCs w:val="18"/>
              </w:rPr>
            </w:pPr>
          </w:p>
        </w:tc>
        <w:tc>
          <w:tcPr>
            <w:tcW w:w="915" w:type="dxa"/>
          </w:tcPr>
          <w:p w14:paraId="31149714">
            <w:pPr>
              <w:jc w:val="center"/>
              <w:rPr>
                <w:rFonts w:cstheme="minorHAnsi"/>
                <w:sz w:val="18"/>
                <w:szCs w:val="18"/>
              </w:rPr>
            </w:pPr>
          </w:p>
        </w:tc>
        <w:tc>
          <w:tcPr>
            <w:tcW w:w="915" w:type="dxa"/>
          </w:tcPr>
          <w:p w14:paraId="7DF4ACFC">
            <w:pPr>
              <w:jc w:val="center"/>
              <w:rPr>
                <w:rFonts w:cstheme="minorHAnsi"/>
                <w:sz w:val="18"/>
                <w:szCs w:val="18"/>
              </w:rPr>
            </w:pPr>
          </w:p>
        </w:tc>
        <w:tc>
          <w:tcPr>
            <w:tcW w:w="915" w:type="dxa"/>
          </w:tcPr>
          <w:p w14:paraId="2E9D2DC5">
            <w:pPr>
              <w:jc w:val="center"/>
              <w:rPr>
                <w:rFonts w:cstheme="minorHAnsi"/>
                <w:sz w:val="18"/>
                <w:szCs w:val="18"/>
              </w:rPr>
            </w:pPr>
          </w:p>
        </w:tc>
        <w:tc>
          <w:tcPr>
            <w:tcW w:w="915" w:type="dxa"/>
          </w:tcPr>
          <w:p w14:paraId="5EF19989">
            <w:pPr>
              <w:jc w:val="center"/>
              <w:rPr>
                <w:rFonts w:cstheme="minorHAnsi"/>
                <w:sz w:val="18"/>
                <w:szCs w:val="18"/>
              </w:rPr>
            </w:pPr>
          </w:p>
        </w:tc>
        <w:tc>
          <w:tcPr>
            <w:tcW w:w="915" w:type="dxa"/>
          </w:tcPr>
          <w:p w14:paraId="759BF4BB">
            <w:pPr>
              <w:jc w:val="center"/>
              <w:rPr>
                <w:rFonts w:cstheme="minorHAnsi"/>
                <w:sz w:val="18"/>
                <w:szCs w:val="18"/>
              </w:rPr>
            </w:pPr>
          </w:p>
        </w:tc>
        <w:tc>
          <w:tcPr>
            <w:tcW w:w="915" w:type="dxa"/>
          </w:tcPr>
          <w:p w14:paraId="7B08B393">
            <w:pPr>
              <w:jc w:val="center"/>
              <w:rPr>
                <w:rFonts w:cstheme="minorHAnsi"/>
                <w:sz w:val="18"/>
                <w:szCs w:val="18"/>
              </w:rPr>
            </w:pPr>
          </w:p>
        </w:tc>
        <w:tc>
          <w:tcPr>
            <w:tcW w:w="915" w:type="dxa"/>
          </w:tcPr>
          <w:p w14:paraId="17DE022B">
            <w:pPr>
              <w:jc w:val="center"/>
              <w:rPr>
                <w:rFonts w:cstheme="minorHAnsi"/>
                <w:sz w:val="18"/>
                <w:szCs w:val="18"/>
              </w:rPr>
            </w:pPr>
          </w:p>
        </w:tc>
        <w:tc>
          <w:tcPr>
            <w:tcW w:w="915" w:type="dxa"/>
          </w:tcPr>
          <w:p w14:paraId="3B05F786">
            <w:pPr>
              <w:jc w:val="center"/>
              <w:rPr>
                <w:rFonts w:cstheme="minorHAnsi"/>
                <w:sz w:val="18"/>
                <w:szCs w:val="18"/>
              </w:rPr>
            </w:pPr>
          </w:p>
        </w:tc>
      </w:tr>
      <w:tr w14:paraId="3F49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22" w:type="dxa"/>
          </w:tcPr>
          <w:p w14:paraId="6546FB27">
            <w:pPr>
              <w:rPr>
                <w:rFonts w:cstheme="minorHAnsi"/>
                <w:sz w:val="18"/>
                <w:szCs w:val="18"/>
              </w:rPr>
            </w:pPr>
            <w:r>
              <w:rPr>
                <w:rFonts w:cstheme="minorHAnsi"/>
                <w:sz w:val="18"/>
                <w:szCs w:val="18"/>
              </w:rPr>
              <w:t>2.2</w:t>
            </w:r>
          </w:p>
        </w:tc>
        <w:tc>
          <w:tcPr>
            <w:tcW w:w="937" w:type="dxa"/>
          </w:tcPr>
          <w:p w14:paraId="6F1DF815">
            <w:pPr>
              <w:rPr>
                <w:rFonts w:cstheme="minorHAnsi"/>
                <w:sz w:val="18"/>
                <w:szCs w:val="18"/>
              </w:rPr>
            </w:pPr>
            <w:r>
              <w:rPr>
                <w:rFonts w:cstheme="minorHAnsi"/>
                <w:sz w:val="18"/>
                <w:szCs w:val="18"/>
              </w:rPr>
              <w:t>经营成本（含税）</w:t>
            </w:r>
          </w:p>
        </w:tc>
        <w:tc>
          <w:tcPr>
            <w:tcW w:w="1126" w:type="dxa"/>
          </w:tcPr>
          <w:p w14:paraId="6BC33390">
            <w:pPr>
              <w:jc w:val="center"/>
              <w:rPr>
                <w:rFonts w:cstheme="minorHAnsi"/>
                <w:sz w:val="18"/>
                <w:szCs w:val="18"/>
              </w:rPr>
            </w:pPr>
            <w:r>
              <w:rPr>
                <w:sz w:val="18"/>
                <w:szCs w:val="18"/>
              </w:rPr>
              <w:t xml:space="preserve"> 256.25 </w:t>
            </w:r>
          </w:p>
        </w:tc>
        <w:tc>
          <w:tcPr>
            <w:tcW w:w="915" w:type="dxa"/>
          </w:tcPr>
          <w:p w14:paraId="3A9E17EB">
            <w:pPr>
              <w:jc w:val="center"/>
              <w:rPr>
                <w:rFonts w:cstheme="minorHAnsi"/>
                <w:sz w:val="18"/>
                <w:szCs w:val="18"/>
              </w:rPr>
            </w:pPr>
            <w:r>
              <w:rPr>
                <w:sz w:val="18"/>
                <w:szCs w:val="18"/>
              </w:rPr>
              <w:t xml:space="preserve"> 256.25 </w:t>
            </w:r>
          </w:p>
        </w:tc>
        <w:tc>
          <w:tcPr>
            <w:tcW w:w="915" w:type="dxa"/>
          </w:tcPr>
          <w:p w14:paraId="5E086EE8">
            <w:pPr>
              <w:jc w:val="center"/>
              <w:rPr>
                <w:rFonts w:cstheme="minorHAnsi"/>
                <w:sz w:val="18"/>
                <w:szCs w:val="18"/>
              </w:rPr>
            </w:pPr>
            <w:r>
              <w:rPr>
                <w:sz w:val="18"/>
                <w:szCs w:val="18"/>
              </w:rPr>
              <w:t xml:space="preserve"> 256.25 </w:t>
            </w:r>
          </w:p>
        </w:tc>
        <w:tc>
          <w:tcPr>
            <w:tcW w:w="915" w:type="dxa"/>
          </w:tcPr>
          <w:p w14:paraId="0493A0A3">
            <w:pPr>
              <w:jc w:val="center"/>
              <w:rPr>
                <w:rFonts w:cstheme="minorHAnsi"/>
                <w:sz w:val="18"/>
                <w:szCs w:val="18"/>
              </w:rPr>
            </w:pPr>
            <w:r>
              <w:rPr>
                <w:sz w:val="18"/>
                <w:szCs w:val="18"/>
              </w:rPr>
              <w:t xml:space="preserve"> 256.25 </w:t>
            </w:r>
          </w:p>
        </w:tc>
        <w:tc>
          <w:tcPr>
            <w:tcW w:w="915" w:type="dxa"/>
          </w:tcPr>
          <w:p w14:paraId="2E864556">
            <w:pPr>
              <w:jc w:val="center"/>
              <w:rPr>
                <w:rFonts w:cstheme="minorHAnsi"/>
                <w:sz w:val="18"/>
                <w:szCs w:val="18"/>
              </w:rPr>
            </w:pPr>
            <w:r>
              <w:rPr>
                <w:sz w:val="18"/>
                <w:szCs w:val="18"/>
              </w:rPr>
              <w:t xml:space="preserve"> 256.25 </w:t>
            </w:r>
          </w:p>
        </w:tc>
        <w:tc>
          <w:tcPr>
            <w:tcW w:w="915" w:type="dxa"/>
          </w:tcPr>
          <w:p w14:paraId="701ECFF4">
            <w:pPr>
              <w:jc w:val="center"/>
              <w:rPr>
                <w:rFonts w:cstheme="minorHAnsi"/>
                <w:sz w:val="18"/>
                <w:szCs w:val="18"/>
              </w:rPr>
            </w:pPr>
            <w:r>
              <w:rPr>
                <w:sz w:val="18"/>
                <w:szCs w:val="18"/>
              </w:rPr>
              <w:t xml:space="preserve"> 256.25 </w:t>
            </w:r>
          </w:p>
        </w:tc>
        <w:tc>
          <w:tcPr>
            <w:tcW w:w="915" w:type="dxa"/>
          </w:tcPr>
          <w:p w14:paraId="691CAA11">
            <w:pPr>
              <w:jc w:val="center"/>
              <w:rPr>
                <w:rFonts w:cstheme="minorHAnsi"/>
                <w:sz w:val="18"/>
                <w:szCs w:val="18"/>
              </w:rPr>
            </w:pPr>
            <w:r>
              <w:rPr>
                <w:sz w:val="18"/>
                <w:szCs w:val="18"/>
              </w:rPr>
              <w:t xml:space="preserve"> 256.25 </w:t>
            </w:r>
          </w:p>
        </w:tc>
        <w:tc>
          <w:tcPr>
            <w:tcW w:w="915" w:type="dxa"/>
          </w:tcPr>
          <w:p w14:paraId="0BB533B5">
            <w:pPr>
              <w:jc w:val="center"/>
              <w:rPr>
                <w:rFonts w:cstheme="minorHAnsi"/>
                <w:sz w:val="18"/>
                <w:szCs w:val="18"/>
              </w:rPr>
            </w:pPr>
            <w:r>
              <w:rPr>
                <w:sz w:val="18"/>
                <w:szCs w:val="18"/>
              </w:rPr>
              <w:t xml:space="preserve"> 256.25 </w:t>
            </w:r>
          </w:p>
        </w:tc>
        <w:tc>
          <w:tcPr>
            <w:tcW w:w="915" w:type="dxa"/>
          </w:tcPr>
          <w:p w14:paraId="418D5EF3">
            <w:pPr>
              <w:jc w:val="center"/>
              <w:rPr>
                <w:rFonts w:cstheme="minorHAnsi"/>
                <w:sz w:val="18"/>
                <w:szCs w:val="18"/>
              </w:rPr>
            </w:pPr>
            <w:r>
              <w:rPr>
                <w:sz w:val="18"/>
                <w:szCs w:val="18"/>
              </w:rPr>
              <w:t xml:space="preserve"> 256.25 </w:t>
            </w:r>
          </w:p>
        </w:tc>
        <w:tc>
          <w:tcPr>
            <w:tcW w:w="915" w:type="dxa"/>
          </w:tcPr>
          <w:p w14:paraId="678072F5">
            <w:pPr>
              <w:jc w:val="center"/>
              <w:rPr>
                <w:rFonts w:cstheme="minorHAnsi"/>
                <w:sz w:val="18"/>
                <w:szCs w:val="18"/>
              </w:rPr>
            </w:pPr>
            <w:r>
              <w:rPr>
                <w:sz w:val="18"/>
                <w:szCs w:val="18"/>
              </w:rPr>
              <w:t xml:space="preserve"> 256.25 </w:t>
            </w:r>
          </w:p>
        </w:tc>
        <w:tc>
          <w:tcPr>
            <w:tcW w:w="915" w:type="dxa"/>
          </w:tcPr>
          <w:p w14:paraId="45C7034F">
            <w:pPr>
              <w:jc w:val="center"/>
              <w:rPr>
                <w:rFonts w:cstheme="minorHAnsi"/>
                <w:sz w:val="18"/>
                <w:szCs w:val="18"/>
              </w:rPr>
            </w:pPr>
            <w:r>
              <w:rPr>
                <w:sz w:val="18"/>
                <w:szCs w:val="18"/>
              </w:rPr>
              <w:t xml:space="preserve"> 256.25 </w:t>
            </w:r>
          </w:p>
        </w:tc>
        <w:tc>
          <w:tcPr>
            <w:tcW w:w="915" w:type="dxa"/>
          </w:tcPr>
          <w:p w14:paraId="7ED6D386">
            <w:pPr>
              <w:jc w:val="center"/>
              <w:rPr>
                <w:rFonts w:cstheme="minorHAnsi"/>
                <w:sz w:val="18"/>
                <w:szCs w:val="18"/>
              </w:rPr>
            </w:pPr>
            <w:r>
              <w:rPr>
                <w:sz w:val="18"/>
                <w:szCs w:val="18"/>
              </w:rPr>
              <w:t xml:space="preserve"> 256.25 </w:t>
            </w:r>
          </w:p>
        </w:tc>
        <w:tc>
          <w:tcPr>
            <w:tcW w:w="915" w:type="dxa"/>
          </w:tcPr>
          <w:p w14:paraId="127DB61E">
            <w:pPr>
              <w:jc w:val="center"/>
              <w:rPr>
                <w:rFonts w:cstheme="minorHAnsi"/>
                <w:sz w:val="18"/>
                <w:szCs w:val="18"/>
              </w:rPr>
            </w:pPr>
            <w:r>
              <w:rPr>
                <w:sz w:val="18"/>
                <w:szCs w:val="18"/>
              </w:rPr>
              <w:t xml:space="preserve"> 256.25 </w:t>
            </w:r>
          </w:p>
        </w:tc>
        <w:tc>
          <w:tcPr>
            <w:tcW w:w="915" w:type="dxa"/>
          </w:tcPr>
          <w:p w14:paraId="7BC048E1">
            <w:pPr>
              <w:jc w:val="center"/>
              <w:rPr>
                <w:rFonts w:cstheme="minorHAnsi"/>
                <w:sz w:val="18"/>
                <w:szCs w:val="18"/>
              </w:rPr>
            </w:pPr>
            <w:r>
              <w:rPr>
                <w:sz w:val="18"/>
                <w:szCs w:val="18"/>
              </w:rPr>
              <w:t xml:space="preserve"> 256.25 </w:t>
            </w:r>
          </w:p>
        </w:tc>
        <w:tc>
          <w:tcPr>
            <w:tcW w:w="915" w:type="dxa"/>
          </w:tcPr>
          <w:p w14:paraId="1AB8D17B">
            <w:pPr>
              <w:jc w:val="center"/>
              <w:rPr>
                <w:rFonts w:cstheme="minorHAnsi"/>
                <w:sz w:val="18"/>
                <w:szCs w:val="18"/>
              </w:rPr>
            </w:pPr>
            <w:r>
              <w:rPr>
                <w:sz w:val="18"/>
                <w:szCs w:val="18"/>
              </w:rPr>
              <w:t xml:space="preserve"> 256.25 </w:t>
            </w:r>
          </w:p>
        </w:tc>
      </w:tr>
      <w:tr w14:paraId="4F84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22" w:type="dxa"/>
          </w:tcPr>
          <w:p w14:paraId="4EFA5DD5">
            <w:pPr>
              <w:rPr>
                <w:rFonts w:cstheme="minorHAnsi"/>
                <w:sz w:val="18"/>
                <w:szCs w:val="18"/>
              </w:rPr>
            </w:pPr>
            <w:r>
              <w:rPr>
                <w:rFonts w:cstheme="minorHAnsi"/>
                <w:sz w:val="18"/>
                <w:szCs w:val="18"/>
              </w:rPr>
              <w:t>2.3</w:t>
            </w:r>
          </w:p>
        </w:tc>
        <w:tc>
          <w:tcPr>
            <w:tcW w:w="937" w:type="dxa"/>
          </w:tcPr>
          <w:p w14:paraId="75EE9ED9">
            <w:pPr>
              <w:rPr>
                <w:rFonts w:cstheme="minorHAnsi"/>
                <w:sz w:val="18"/>
                <w:szCs w:val="18"/>
              </w:rPr>
            </w:pPr>
            <w:r>
              <w:rPr>
                <w:rFonts w:cstheme="minorHAnsi"/>
                <w:sz w:val="18"/>
                <w:szCs w:val="18"/>
              </w:rPr>
              <w:t>增值税</w:t>
            </w:r>
          </w:p>
        </w:tc>
        <w:tc>
          <w:tcPr>
            <w:tcW w:w="1126" w:type="dxa"/>
          </w:tcPr>
          <w:p w14:paraId="5E50EF4E">
            <w:pPr>
              <w:jc w:val="center"/>
              <w:rPr>
                <w:rFonts w:cstheme="minorHAnsi"/>
                <w:sz w:val="18"/>
                <w:szCs w:val="18"/>
              </w:rPr>
            </w:pPr>
            <w:r>
              <w:rPr>
                <w:sz w:val="18"/>
                <w:szCs w:val="18"/>
              </w:rPr>
              <w:t xml:space="preserve"> 28.46 </w:t>
            </w:r>
          </w:p>
        </w:tc>
        <w:tc>
          <w:tcPr>
            <w:tcW w:w="915" w:type="dxa"/>
          </w:tcPr>
          <w:p w14:paraId="61F96291">
            <w:pPr>
              <w:jc w:val="center"/>
              <w:rPr>
                <w:rFonts w:cstheme="minorHAnsi"/>
                <w:sz w:val="18"/>
                <w:szCs w:val="18"/>
              </w:rPr>
            </w:pPr>
            <w:r>
              <w:rPr>
                <w:sz w:val="18"/>
                <w:szCs w:val="18"/>
              </w:rPr>
              <w:t xml:space="preserve"> 28.46 </w:t>
            </w:r>
          </w:p>
        </w:tc>
        <w:tc>
          <w:tcPr>
            <w:tcW w:w="915" w:type="dxa"/>
          </w:tcPr>
          <w:p w14:paraId="37474FB5">
            <w:pPr>
              <w:jc w:val="center"/>
              <w:rPr>
                <w:rFonts w:cstheme="minorHAnsi"/>
                <w:sz w:val="18"/>
                <w:szCs w:val="18"/>
              </w:rPr>
            </w:pPr>
            <w:r>
              <w:rPr>
                <w:sz w:val="18"/>
                <w:szCs w:val="18"/>
              </w:rPr>
              <w:t xml:space="preserve"> 28.46 </w:t>
            </w:r>
          </w:p>
        </w:tc>
        <w:tc>
          <w:tcPr>
            <w:tcW w:w="915" w:type="dxa"/>
          </w:tcPr>
          <w:p w14:paraId="45C9B655">
            <w:pPr>
              <w:jc w:val="center"/>
              <w:rPr>
                <w:rFonts w:cstheme="minorHAnsi"/>
                <w:sz w:val="18"/>
                <w:szCs w:val="18"/>
              </w:rPr>
            </w:pPr>
            <w:r>
              <w:rPr>
                <w:sz w:val="18"/>
                <w:szCs w:val="18"/>
              </w:rPr>
              <w:t xml:space="preserve"> 28.46 </w:t>
            </w:r>
          </w:p>
        </w:tc>
        <w:tc>
          <w:tcPr>
            <w:tcW w:w="915" w:type="dxa"/>
          </w:tcPr>
          <w:p w14:paraId="6664C414">
            <w:pPr>
              <w:jc w:val="center"/>
              <w:rPr>
                <w:rFonts w:cstheme="minorHAnsi"/>
                <w:sz w:val="18"/>
                <w:szCs w:val="18"/>
              </w:rPr>
            </w:pPr>
            <w:r>
              <w:rPr>
                <w:sz w:val="18"/>
                <w:szCs w:val="18"/>
              </w:rPr>
              <w:t xml:space="preserve"> 28.46 </w:t>
            </w:r>
          </w:p>
        </w:tc>
        <w:tc>
          <w:tcPr>
            <w:tcW w:w="915" w:type="dxa"/>
          </w:tcPr>
          <w:p w14:paraId="42C30E01">
            <w:pPr>
              <w:jc w:val="center"/>
              <w:rPr>
                <w:rFonts w:cstheme="minorHAnsi"/>
                <w:sz w:val="18"/>
                <w:szCs w:val="18"/>
              </w:rPr>
            </w:pPr>
            <w:r>
              <w:rPr>
                <w:sz w:val="18"/>
                <w:szCs w:val="18"/>
              </w:rPr>
              <w:t xml:space="preserve"> 28.46 </w:t>
            </w:r>
          </w:p>
        </w:tc>
        <w:tc>
          <w:tcPr>
            <w:tcW w:w="915" w:type="dxa"/>
          </w:tcPr>
          <w:p w14:paraId="4FFD14EE">
            <w:pPr>
              <w:jc w:val="center"/>
              <w:rPr>
                <w:rFonts w:cstheme="minorHAnsi"/>
                <w:sz w:val="18"/>
                <w:szCs w:val="18"/>
              </w:rPr>
            </w:pPr>
            <w:r>
              <w:rPr>
                <w:sz w:val="18"/>
                <w:szCs w:val="18"/>
              </w:rPr>
              <w:t xml:space="preserve"> 28.46 </w:t>
            </w:r>
          </w:p>
        </w:tc>
        <w:tc>
          <w:tcPr>
            <w:tcW w:w="915" w:type="dxa"/>
          </w:tcPr>
          <w:p w14:paraId="3B18BCC3">
            <w:pPr>
              <w:jc w:val="center"/>
              <w:rPr>
                <w:rFonts w:cstheme="minorHAnsi"/>
                <w:sz w:val="18"/>
                <w:szCs w:val="18"/>
              </w:rPr>
            </w:pPr>
            <w:r>
              <w:rPr>
                <w:sz w:val="18"/>
                <w:szCs w:val="18"/>
              </w:rPr>
              <w:t xml:space="preserve"> 28.46 </w:t>
            </w:r>
          </w:p>
        </w:tc>
        <w:tc>
          <w:tcPr>
            <w:tcW w:w="915" w:type="dxa"/>
          </w:tcPr>
          <w:p w14:paraId="3F0E5790">
            <w:pPr>
              <w:jc w:val="center"/>
              <w:rPr>
                <w:rFonts w:cstheme="minorHAnsi"/>
                <w:sz w:val="18"/>
                <w:szCs w:val="18"/>
              </w:rPr>
            </w:pPr>
            <w:r>
              <w:rPr>
                <w:sz w:val="18"/>
                <w:szCs w:val="18"/>
              </w:rPr>
              <w:t xml:space="preserve"> 28.46 </w:t>
            </w:r>
          </w:p>
        </w:tc>
        <w:tc>
          <w:tcPr>
            <w:tcW w:w="915" w:type="dxa"/>
          </w:tcPr>
          <w:p w14:paraId="2441F72C">
            <w:pPr>
              <w:jc w:val="center"/>
              <w:rPr>
                <w:rFonts w:cstheme="minorHAnsi"/>
                <w:sz w:val="18"/>
                <w:szCs w:val="18"/>
              </w:rPr>
            </w:pPr>
            <w:r>
              <w:rPr>
                <w:sz w:val="18"/>
                <w:szCs w:val="18"/>
              </w:rPr>
              <w:t xml:space="preserve"> 28.46 </w:t>
            </w:r>
          </w:p>
        </w:tc>
        <w:tc>
          <w:tcPr>
            <w:tcW w:w="915" w:type="dxa"/>
          </w:tcPr>
          <w:p w14:paraId="11B40DE2">
            <w:pPr>
              <w:jc w:val="center"/>
              <w:rPr>
                <w:rFonts w:cstheme="minorHAnsi"/>
                <w:sz w:val="18"/>
                <w:szCs w:val="18"/>
              </w:rPr>
            </w:pPr>
            <w:r>
              <w:rPr>
                <w:sz w:val="18"/>
                <w:szCs w:val="18"/>
              </w:rPr>
              <w:t xml:space="preserve"> 28.46 </w:t>
            </w:r>
          </w:p>
        </w:tc>
        <w:tc>
          <w:tcPr>
            <w:tcW w:w="915" w:type="dxa"/>
          </w:tcPr>
          <w:p w14:paraId="438541BC">
            <w:pPr>
              <w:jc w:val="center"/>
              <w:rPr>
                <w:rFonts w:cstheme="minorHAnsi"/>
                <w:sz w:val="18"/>
                <w:szCs w:val="18"/>
              </w:rPr>
            </w:pPr>
            <w:r>
              <w:rPr>
                <w:sz w:val="18"/>
                <w:szCs w:val="18"/>
              </w:rPr>
              <w:t xml:space="preserve"> 28.46 </w:t>
            </w:r>
          </w:p>
        </w:tc>
        <w:tc>
          <w:tcPr>
            <w:tcW w:w="915" w:type="dxa"/>
          </w:tcPr>
          <w:p w14:paraId="6A37B0B2">
            <w:pPr>
              <w:jc w:val="center"/>
              <w:rPr>
                <w:rFonts w:cstheme="minorHAnsi"/>
                <w:sz w:val="18"/>
                <w:szCs w:val="18"/>
              </w:rPr>
            </w:pPr>
            <w:r>
              <w:rPr>
                <w:sz w:val="18"/>
                <w:szCs w:val="18"/>
              </w:rPr>
              <w:t xml:space="preserve"> 28.46 </w:t>
            </w:r>
          </w:p>
        </w:tc>
        <w:tc>
          <w:tcPr>
            <w:tcW w:w="915" w:type="dxa"/>
          </w:tcPr>
          <w:p w14:paraId="75828FFA">
            <w:pPr>
              <w:jc w:val="center"/>
              <w:rPr>
                <w:rFonts w:cstheme="minorHAnsi"/>
                <w:sz w:val="18"/>
                <w:szCs w:val="18"/>
              </w:rPr>
            </w:pPr>
            <w:r>
              <w:rPr>
                <w:sz w:val="18"/>
                <w:szCs w:val="18"/>
              </w:rPr>
              <w:t xml:space="preserve"> 28.46 </w:t>
            </w:r>
          </w:p>
        </w:tc>
        <w:tc>
          <w:tcPr>
            <w:tcW w:w="915" w:type="dxa"/>
          </w:tcPr>
          <w:p w14:paraId="2CDA5891">
            <w:pPr>
              <w:jc w:val="center"/>
              <w:rPr>
                <w:rFonts w:cstheme="minorHAnsi"/>
                <w:sz w:val="18"/>
                <w:szCs w:val="18"/>
              </w:rPr>
            </w:pPr>
            <w:r>
              <w:rPr>
                <w:sz w:val="18"/>
                <w:szCs w:val="18"/>
              </w:rPr>
              <w:t xml:space="preserve"> 28.46 </w:t>
            </w:r>
          </w:p>
        </w:tc>
      </w:tr>
      <w:tr w14:paraId="2268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2" w:type="dxa"/>
          </w:tcPr>
          <w:p w14:paraId="040CE407">
            <w:pPr>
              <w:rPr>
                <w:rFonts w:cstheme="minorHAnsi"/>
                <w:sz w:val="18"/>
                <w:szCs w:val="18"/>
              </w:rPr>
            </w:pPr>
            <w:r>
              <w:rPr>
                <w:rFonts w:cstheme="minorHAnsi"/>
                <w:sz w:val="18"/>
                <w:szCs w:val="18"/>
              </w:rPr>
              <w:t>2.4</w:t>
            </w:r>
          </w:p>
        </w:tc>
        <w:tc>
          <w:tcPr>
            <w:tcW w:w="937" w:type="dxa"/>
          </w:tcPr>
          <w:p w14:paraId="7D94A39A">
            <w:pPr>
              <w:rPr>
                <w:rFonts w:cstheme="minorHAnsi"/>
                <w:sz w:val="18"/>
                <w:szCs w:val="18"/>
              </w:rPr>
            </w:pPr>
            <w:r>
              <w:rPr>
                <w:rFonts w:cstheme="minorHAnsi"/>
                <w:sz w:val="18"/>
                <w:szCs w:val="18"/>
              </w:rPr>
              <w:t>税金及附加</w:t>
            </w:r>
          </w:p>
        </w:tc>
        <w:tc>
          <w:tcPr>
            <w:tcW w:w="1126" w:type="dxa"/>
          </w:tcPr>
          <w:p w14:paraId="4A553A97">
            <w:pPr>
              <w:jc w:val="center"/>
              <w:rPr>
                <w:rFonts w:cstheme="minorHAnsi"/>
                <w:sz w:val="18"/>
                <w:szCs w:val="18"/>
              </w:rPr>
            </w:pPr>
            <w:r>
              <w:rPr>
                <w:sz w:val="18"/>
                <w:szCs w:val="18"/>
              </w:rPr>
              <w:t xml:space="preserve"> 3.41 </w:t>
            </w:r>
          </w:p>
        </w:tc>
        <w:tc>
          <w:tcPr>
            <w:tcW w:w="915" w:type="dxa"/>
          </w:tcPr>
          <w:p w14:paraId="42B57F35">
            <w:pPr>
              <w:jc w:val="center"/>
              <w:rPr>
                <w:rFonts w:cstheme="minorHAnsi"/>
                <w:sz w:val="18"/>
                <w:szCs w:val="18"/>
              </w:rPr>
            </w:pPr>
            <w:r>
              <w:rPr>
                <w:sz w:val="18"/>
                <w:szCs w:val="18"/>
              </w:rPr>
              <w:t xml:space="preserve"> 3.41 </w:t>
            </w:r>
          </w:p>
        </w:tc>
        <w:tc>
          <w:tcPr>
            <w:tcW w:w="915" w:type="dxa"/>
          </w:tcPr>
          <w:p w14:paraId="47DDF19D">
            <w:pPr>
              <w:jc w:val="center"/>
              <w:rPr>
                <w:rFonts w:cstheme="minorHAnsi"/>
                <w:sz w:val="18"/>
                <w:szCs w:val="18"/>
              </w:rPr>
            </w:pPr>
            <w:r>
              <w:rPr>
                <w:sz w:val="18"/>
                <w:szCs w:val="18"/>
              </w:rPr>
              <w:t xml:space="preserve"> 3.41 </w:t>
            </w:r>
          </w:p>
        </w:tc>
        <w:tc>
          <w:tcPr>
            <w:tcW w:w="915" w:type="dxa"/>
          </w:tcPr>
          <w:p w14:paraId="288AFA50">
            <w:pPr>
              <w:jc w:val="center"/>
              <w:rPr>
                <w:rFonts w:cstheme="minorHAnsi"/>
                <w:sz w:val="18"/>
                <w:szCs w:val="18"/>
              </w:rPr>
            </w:pPr>
            <w:r>
              <w:rPr>
                <w:sz w:val="18"/>
                <w:szCs w:val="18"/>
              </w:rPr>
              <w:t xml:space="preserve"> 3.41 </w:t>
            </w:r>
          </w:p>
        </w:tc>
        <w:tc>
          <w:tcPr>
            <w:tcW w:w="915" w:type="dxa"/>
          </w:tcPr>
          <w:p w14:paraId="76B1A693">
            <w:pPr>
              <w:jc w:val="center"/>
              <w:rPr>
                <w:rFonts w:cstheme="minorHAnsi"/>
                <w:sz w:val="18"/>
                <w:szCs w:val="18"/>
              </w:rPr>
            </w:pPr>
            <w:r>
              <w:rPr>
                <w:sz w:val="18"/>
                <w:szCs w:val="18"/>
              </w:rPr>
              <w:t xml:space="preserve"> 3.41 </w:t>
            </w:r>
          </w:p>
        </w:tc>
        <w:tc>
          <w:tcPr>
            <w:tcW w:w="915" w:type="dxa"/>
          </w:tcPr>
          <w:p w14:paraId="18505B9A">
            <w:pPr>
              <w:jc w:val="center"/>
              <w:rPr>
                <w:rFonts w:cstheme="minorHAnsi"/>
                <w:sz w:val="18"/>
                <w:szCs w:val="18"/>
              </w:rPr>
            </w:pPr>
            <w:r>
              <w:rPr>
                <w:sz w:val="18"/>
                <w:szCs w:val="18"/>
              </w:rPr>
              <w:t xml:space="preserve"> 3.41 </w:t>
            </w:r>
          </w:p>
        </w:tc>
        <w:tc>
          <w:tcPr>
            <w:tcW w:w="915" w:type="dxa"/>
          </w:tcPr>
          <w:p w14:paraId="5DD6E2B5">
            <w:pPr>
              <w:jc w:val="center"/>
              <w:rPr>
                <w:rFonts w:cstheme="minorHAnsi"/>
                <w:sz w:val="18"/>
                <w:szCs w:val="18"/>
              </w:rPr>
            </w:pPr>
            <w:r>
              <w:rPr>
                <w:sz w:val="18"/>
                <w:szCs w:val="18"/>
              </w:rPr>
              <w:t xml:space="preserve"> 3.41 </w:t>
            </w:r>
          </w:p>
        </w:tc>
        <w:tc>
          <w:tcPr>
            <w:tcW w:w="915" w:type="dxa"/>
          </w:tcPr>
          <w:p w14:paraId="17C429B3">
            <w:pPr>
              <w:jc w:val="center"/>
              <w:rPr>
                <w:rFonts w:cstheme="minorHAnsi"/>
                <w:sz w:val="18"/>
                <w:szCs w:val="18"/>
              </w:rPr>
            </w:pPr>
            <w:r>
              <w:rPr>
                <w:sz w:val="18"/>
                <w:szCs w:val="18"/>
              </w:rPr>
              <w:t xml:space="preserve"> 3.41 </w:t>
            </w:r>
          </w:p>
        </w:tc>
        <w:tc>
          <w:tcPr>
            <w:tcW w:w="915" w:type="dxa"/>
          </w:tcPr>
          <w:p w14:paraId="5B8079BD">
            <w:pPr>
              <w:jc w:val="center"/>
              <w:rPr>
                <w:rFonts w:cstheme="minorHAnsi"/>
                <w:sz w:val="18"/>
                <w:szCs w:val="18"/>
              </w:rPr>
            </w:pPr>
            <w:r>
              <w:rPr>
                <w:sz w:val="18"/>
                <w:szCs w:val="18"/>
              </w:rPr>
              <w:t xml:space="preserve"> 3.41 </w:t>
            </w:r>
          </w:p>
        </w:tc>
        <w:tc>
          <w:tcPr>
            <w:tcW w:w="915" w:type="dxa"/>
          </w:tcPr>
          <w:p w14:paraId="6ACB2CF6">
            <w:pPr>
              <w:jc w:val="center"/>
              <w:rPr>
                <w:rFonts w:cstheme="minorHAnsi"/>
                <w:sz w:val="18"/>
                <w:szCs w:val="18"/>
              </w:rPr>
            </w:pPr>
            <w:r>
              <w:rPr>
                <w:sz w:val="18"/>
                <w:szCs w:val="18"/>
              </w:rPr>
              <w:t xml:space="preserve"> 3.41 </w:t>
            </w:r>
          </w:p>
        </w:tc>
        <w:tc>
          <w:tcPr>
            <w:tcW w:w="915" w:type="dxa"/>
          </w:tcPr>
          <w:p w14:paraId="0F88C963">
            <w:pPr>
              <w:jc w:val="center"/>
              <w:rPr>
                <w:rFonts w:cstheme="minorHAnsi"/>
                <w:sz w:val="18"/>
                <w:szCs w:val="18"/>
              </w:rPr>
            </w:pPr>
            <w:r>
              <w:rPr>
                <w:sz w:val="18"/>
                <w:szCs w:val="18"/>
              </w:rPr>
              <w:t xml:space="preserve"> 3.41 </w:t>
            </w:r>
          </w:p>
        </w:tc>
        <w:tc>
          <w:tcPr>
            <w:tcW w:w="915" w:type="dxa"/>
          </w:tcPr>
          <w:p w14:paraId="0DA2A3B9">
            <w:pPr>
              <w:jc w:val="center"/>
              <w:rPr>
                <w:rFonts w:cstheme="minorHAnsi"/>
                <w:sz w:val="18"/>
                <w:szCs w:val="18"/>
              </w:rPr>
            </w:pPr>
            <w:r>
              <w:rPr>
                <w:sz w:val="18"/>
                <w:szCs w:val="18"/>
              </w:rPr>
              <w:t xml:space="preserve"> 3.41 </w:t>
            </w:r>
          </w:p>
        </w:tc>
        <w:tc>
          <w:tcPr>
            <w:tcW w:w="915" w:type="dxa"/>
          </w:tcPr>
          <w:p w14:paraId="336FB1FF">
            <w:pPr>
              <w:jc w:val="center"/>
              <w:rPr>
                <w:rFonts w:cstheme="minorHAnsi"/>
                <w:sz w:val="18"/>
                <w:szCs w:val="18"/>
              </w:rPr>
            </w:pPr>
            <w:r>
              <w:rPr>
                <w:sz w:val="18"/>
                <w:szCs w:val="18"/>
              </w:rPr>
              <w:t xml:space="preserve"> 3.41 </w:t>
            </w:r>
          </w:p>
        </w:tc>
        <w:tc>
          <w:tcPr>
            <w:tcW w:w="915" w:type="dxa"/>
          </w:tcPr>
          <w:p w14:paraId="5F0C498B">
            <w:pPr>
              <w:jc w:val="center"/>
              <w:rPr>
                <w:rFonts w:cstheme="minorHAnsi"/>
                <w:sz w:val="18"/>
                <w:szCs w:val="18"/>
              </w:rPr>
            </w:pPr>
            <w:r>
              <w:rPr>
                <w:sz w:val="18"/>
                <w:szCs w:val="18"/>
              </w:rPr>
              <w:t xml:space="preserve"> 3.41 </w:t>
            </w:r>
          </w:p>
        </w:tc>
        <w:tc>
          <w:tcPr>
            <w:tcW w:w="915" w:type="dxa"/>
          </w:tcPr>
          <w:p w14:paraId="756E4564">
            <w:pPr>
              <w:jc w:val="center"/>
              <w:rPr>
                <w:rFonts w:cstheme="minorHAnsi"/>
                <w:sz w:val="18"/>
                <w:szCs w:val="18"/>
              </w:rPr>
            </w:pPr>
            <w:r>
              <w:rPr>
                <w:sz w:val="18"/>
                <w:szCs w:val="18"/>
              </w:rPr>
              <w:t xml:space="preserve"> 3.41 </w:t>
            </w:r>
          </w:p>
        </w:tc>
      </w:tr>
      <w:tr w14:paraId="0227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2" w:type="dxa"/>
          </w:tcPr>
          <w:p w14:paraId="7D0FF8ED">
            <w:pPr>
              <w:rPr>
                <w:rFonts w:cstheme="minorHAnsi"/>
                <w:sz w:val="18"/>
                <w:szCs w:val="18"/>
              </w:rPr>
            </w:pPr>
            <w:r>
              <w:rPr>
                <w:rFonts w:cstheme="minorHAnsi"/>
                <w:sz w:val="18"/>
                <w:szCs w:val="18"/>
              </w:rPr>
              <w:t>2.5</w:t>
            </w:r>
          </w:p>
        </w:tc>
        <w:tc>
          <w:tcPr>
            <w:tcW w:w="937" w:type="dxa"/>
          </w:tcPr>
          <w:p w14:paraId="68CD872B">
            <w:pPr>
              <w:rPr>
                <w:rFonts w:cstheme="minorHAnsi"/>
                <w:sz w:val="18"/>
                <w:szCs w:val="18"/>
              </w:rPr>
            </w:pPr>
            <w:r>
              <w:rPr>
                <w:rFonts w:cstheme="minorHAnsi"/>
                <w:sz w:val="18"/>
                <w:szCs w:val="18"/>
              </w:rPr>
              <w:t>企业所得税</w:t>
            </w:r>
          </w:p>
        </w:tc>
        <w:tc>
          <w:tcPr>
            <w:tcW w:w="1126" w:type="dxa"/>
          </w:tcPr>
          <w:p w14:paraId="2FC76C31">
            <w:pPr>
              <w:jc w:val="center"/>
              <w:rPr>
                <w:rFonts w:cstheme="minorHAnsi"/>
                <w:sz w:val="18"/>
                <w:szCs w:val="18"/>
              </w:rPr>
            </w:pPr>
            <w:r>
              <w:rPr>
                <w:sz w:val="18"/>
                <w:szCs w:val="18"/>
              </w:rPr>
              <w:t xml:space="preserve"> -   </w:t>
            </w:r>
          </w:p>
        </w:tc>
        <w:tc>
          <w:tcPr>
            <w:tcW w:w="915" w:type="dxa"/>
          </w:tcPr>
          <w:p w14:paraId="108E590A">
            <w:pPr>
              <w:jc w:val="center"/>
              <w:rPr>
                <w:rFonts w:cstheme="minorHAnsi"/>
                <w:sz w:val="18"/>
                <w:szCs w:val="18"/>
              </w:rPr>
            </w:pPr>
            <w:r>
              <w:rPr>
                <w:sz w:val="18"/>
                <w:szCs w:val="18"/>
              </w:rPr>
              <w:t xml:space="preserve"> -   </w:t>
            </w:r>
          </w:p>
        </w:tc>
        <w:tc>
          <w:tcPr>
            <w:tcW w:w="915" w:type="dxa"/>
          </w:tcPr>
          <w:p w14:paraId="3FFA81D1">
            <w:pPr>
              <w:jc w:val="center"/>
              <w:rPr>
                <w:rFonts w:cstheme="minorHAnsi"/>
                <w:sz w:val="18"/>
                <w:szCs w:val="18"/>
              </w:rPr>
            </w:pPr>
            <w:r>
              <w:rPr>
                <w:sz w:val="18"/>
                <w:szCs w:val="18"/>
              </w:rPr>
              <w:t xml:space="preserve"> -   </w:t>
            </w:r>
          </w:p>
        </w:tc>
        <w:tc>
          <w:tcPr>
            <w:tcW w:w="915" w:type="dxa"/>
          </w:tcPr>
          <w:p w14:paraId="0852F6B6">
            <w:pPr>
              <w:jc w:val="center"/>
              <w:rPr>
                <w:rFonts w:cstheme="minorHAnsi"/>
                <w:sz w:val="18"/>
                <w:szCs w:val="18"/>
              </w:rPr>
            </w:pPr>
            <w:r>
              <w:rPr>
                <w:sz w:val="18"/>
                <w:szCs w:val="18"/>
              </w:rPr>
              <w:t xml:space="preserve"> -   </w:t>
            </w:r>
          </w:p>
        </w:tc>
        <w:tc>
          <w:tcPr>
            <w:tcW w:w="915" w:type="dxa"/>
          </w:tcPr>
          <w:p w14:paraId="71CF580A">
            <w:pPr>
              <w:jc w:val="center"/>
              <w:rPr>
                <w:rFonts w:cstheme="minorHAnsi"/>
                <w:sz w:val="18"/>
                <w:szCs w:val="18"/>
              </w:rPr>
            </w:pPr>
            <w:r>
              <w:rPr>
                <w:sz w:val="18"/>
                <w:szCs w:val="18"/>
              </w:rPr>
              <w:t xml:space="preserve"> -   </w:t>
            </w:r>
          </w:p>
        </w:tc>
        <w:tc>
          <w:tcPr>
            <w:tcW w:w="915" w:type="dxa"/>
          </w:tcPr>
          <w:p w14:paraId="3A71731E">
            <w:pPr>
              <w:jc w:val="center"/>
              <w:rPr>
                <w:rFonts w:cstheme="minorHAnsi"/>
                <w:sz w:val="18"/>
                <w:szCs w:val="18"/>
              </w:rPr>
            </w:pPr>
            <w:r>
              <w:rPr>
                <w:sz w:val="18"/>
                <w:szCs w:val="18"/>
              </w:rPr>
              <w:t xml:space="preserve"> -   </w:t>
            </w:r>
          </w:p>
        </w:tc>
        <w:tc>
          <w:tcPr>
            <w:tcW w:w="915" w:type="dxa"/>
          </w:tcPr>
          <w:p w14:paraId="2D5A0690">
            <w:pPr>
              <w:jc w:val="center"/>
              <w:rPr>
                <w:rFonts w:cstheme="minorHAnsi"/>
                <w:sz w:val="18"/>
                <w:szCs w:val="18"/>
              </w:rPr>
            </w:pPr>
            <w:r>
              <w:rPr>
                <w:sz w:val="18"/>
                <w:szCs w:val="18"/>
              </w:rPr>
              <w:t xml:space="preserve"> -   </w:t>
            </w:r>
          </w:p>
        </w:tc>
        <w:tc>
          <w:tcPr>
            <w:tcW w:w="915" w:type="dxa"/>
          </w:tcPr>
          <w:p w14:paraId="71BA92C8">
            <w:pPr>
              <w:jc w:val="center"/>
              <w:rPr>
                <w:rFonts w:cstheme="minorHAnsi"/>
                <w:sz w:val="18"/>
                <w:szCs w:val="18"/>
              </w:rPr>
            </w:pPr>
            <w:r>
              <w:rPr>
                <w:sz w:val="18"/>
                <w:szCs w:val="18"/>
              </w:rPr>
              <w:t xml:space="preserve"> -   </w:t>
            </w:r>
          </w:p>
        </w:tc>
        <w:tc>
          <w:tcPr>
            <w:tcW w:w="915" w:type="dxa"/>
          </w:tcPr>
          <w:p w14:paraId="1D9E0602">
            <w:pPr>
              <w:jc w:val="center"/>
              <w:rPr>
                <w:rFonts w:cstheme="minorHAnsi"/>
                <w:sz w:val="18"/>
                <w:szCs w:val="18"/>
              </w:rPr>
            </w:pPr>
            <w:r>
              <w:rPr>
                <w:sz w:val="18"/>
                <w:szCs w:val="18"/>
              </w:rPr>
              <w:t xml:space="preserve"> 1.58 </w:t>
            </w:r>
          </w:p>
        </w:tc>
        <w:tc>
          <w:tcPr>
            <w:tcW w:w="915" w:type="dxa"/>
          </w:tcPr>
          <w:p w14:paraId="52593E3C">
            <w:pPr>
              <w:jc w:val="center"/>
              <w:rPr>
                <w:rFonts w:cstheme="minorHAnsi"/>
                <w:sz w:val="18"/>
                <w:szCs w:val="18"/>
              </w:rPr>
            </w:pPr>
            <w:r>
              <w:rPr>
                <w:sz w:val="18"/>
                <w:szCs w:val="18"/>
              </w:rPr>
              <w:t xml:space="preserve"> 7.93 </w:t>
            </w:r>
          </w:p>
        </w:tc>
        <w:tc>
          <w:tcPr>
            <w:tcW w:w="915" w:type="dxa"/>
          </w:tcPr>
          <w:p w14:paraId="44B576E3">
            <w:pPr>
              <w:jc w:val="center"/>
              <w:rPr>
                <w:rFonts w:cstheme="minorHAnsi"/>
                <w:sz w:val="18"/>
                <w:szCs w:val="18"/>
              </w:rPr>
            </w:pPr>
            <w:r>
              <w:rPr>
                <w:sz w:val="18"/>
                <w:szCs w:val="18"/>
              </w:rPr>
              <w:t xml:space="preserve"> 10.00 </w:t>
            </w:r>
          </w:p>
        </w:tc>
        <w:tc>
          <w:tcPr>
            <w:tcW w:w="915" w:type="dxa"/>
          </w:tcPr>
          <w:p w14:paraId="009EBC4F">
            <w:pPr>
              <w:jc w:val="center"/>
              <w:rPr>
                <w:rFonts w:cstheme="minorHAnsi"/>
                <w:sz w:val="18"/>
                <w:szCs w:val="18"/>
              </w:rPr>
            </w:pPr>
            <w:r>
              <w:rPr>
                <w:sz w:val="18"/>
                <w:szCs w:val="18"/>
              </w:rPr>
              <w:t xml:space="preserve"> 12.13 </w:t>
            </w:r>
          </w:p>
        </w:tc>
        <w:tc>
          <w:tcPr>
            <w:tcW w:w="915" w:type="dxa"/>
          </w:tcPr>
          <w:p w14:paraId="64AACE02">
            <w:pPr>
              <w:jc w:val="center"/>
              <w:rPr>
                <w:rFonts w:cstheme="minorHAnsi"/>
                <w:sz w:val="18"/>
                <w:szCs w:val="18"/>
              </w:rPr>
            </w:pPr>
            <w:r>
              <w:rPr>
                <w:sz w:val="18"/>
                <w:szCs w:val="18"/>
              </w:rPr>
              <w:t xml:space="preserve"> 14.35 </w:t>
            </w:r>
          </w:p>
        </w:tc>
        <w:tc>
          <w:tcPr>
            <w:tcW w:w="915" w:type="dxa"/>
          </w:tcPr>
          <w:p w14:paraId="07ADFC1F">
            <w:pPr>
              <w:jc w:val="center"/>
              <w:rPr>
                <w:rFonts w:cstheme="minorHAnsi"/>
                <w:sz w:val="18"/>
                <w:szCs w:val="18"/>
              </w:rPr>
            </w:pPr>
            <w:r>
              <w:rPr>
                <w:sz w:val="18"/>
                <w:szCs w:val="18"/>
              </w:rPr>
              <w:t xml:space="preserve"> 16.64 </w:t>
            </w:r>
          </w:p>
        </w:tc>
        <w:tc>
          <w:tcPr>
            <w:tcW w:w="915" w:type="dxa"/>
          </w:tcPr>
          <w:p w14:paraId="38ADE497">
            <w:pPr>
              <w:jc w:val="center"/>
              <w:rPr>
                <w:rFonts w:cstheme="minorHAnsi"/>
                <w:sz w:val="18"/>
                <w:szCs w:val="18"/>
              </w:rPr>
            </w:pPr>
            <w:r>
              <w:rPr>
                <w:sz w:val="18"/>
                <w:szCs w:val="18"/>
              </w:rPr>
              <w:t xml:space="preserve"> 19.01 </w:t>
            </w:r>
          </w:p>
        </w:tc>
      </w:tr>
      <w:tr w14:paraId="3EB0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22" w:type="dxa"/>
          </w:tcPr>
          <w:p w14:paraId="35B2DA7D">
            <w:pPr>
              <w:rPr>
                <w:rFonts w:cstheme="minorHAnsi"/>
                <w:sz w:val="18"/>
                <w:szCs w:val="18"/>
              </w:rPr>
            </w:pPr>
            <w:r>
              <w:rPr>
                <w:rFonts w:cstheme="minorHAnsi"/>
                <w:sz w:val="18"/>
                <w:szCs w:val="18"/>
              </w:rPr>
              <w:t>3</w:t>
            </w:r>
          </w:p>
        </w:tc>
        <w:tc>
          <w:tcPr>
            <w:tcW w:w="937" w:type="dxa"/>
          </w:tcPr>
          <w:p w14:paraId="2974BAE4">
            <w:pPr>
              <w:rPr>
                <w:rFonts w:cstheme="minorHAnsi"/>
                <w:sz w:val="18"/>
                <w:szCs w:val="18"/>
              </w:rPr>
            </w:pPr>
            <w:r>
              <w:rPr>
                <w:rFonts w:cstheme="minorHAnsi"/>
                <w:sz w:val="18"/>
                <w:szCs w:val="18"/>
              </w:rPr>
              <w:t>所得税前净现金流</w:t>
            </w:r>
          </w:p>
        </w:tc>
        <w:tc>
          <w:tcPr>
            <w:tcW w:w="1126" w:type="dxa"/>
          </w:tcPr>
          <w:p w14:paraId="7E328043">
            <w:pPr>
              <w:jc w:val="center"/>
              <w:rPr>
                <w:rFonts w:cstheme="minorHAnsi"/>
                <w:sz w:val="18"/>
                <w:szCs w:val="18"/>
              </w:rPr>
            </w:pPr>
            <w:r>
              <w:rPr>
                <w:sz w:val="18"/>
                <w:szCs w:val="18"/>
              </w:rPr>
              <w:t xml:space="preserve"> -10,349.20 </w:t>
            </w:r>
          </w:p>
        </w:tc>
        <w:tc>
          <w:tcPr>
            <w:tcW w:w="915" w:type="dxa"/>
          </w:tcPr>
          <w:p w14:paraId="726F7675">
            <w:pPr>
              <w:jc w:val="center"/>
              <w:rPr>
                <w:rFonts w:cstheme="minorHAnsi"/>
                <w:sz w:val="18"/>
                <w:szCs w:val="18"/>
              </w:rPr>
            </w:pPr>
            <w:r>
              <w:rPr>
                <w:sz w:val="18"/>
                <w:szCs w:val="18"/>
              </w:rPr>
              <w:t xml:space="preserve"> 650.80 </w:t>
            </w:r>
          </w:p>
        </w:tc>
        <w:tc>
          <w:tcPr>
            <w:tcW w:w="915" w:type="dxa"/>
          </w:tcPr>
          <w:p w14:paraId="39206AE7">
            <w:pPr>
              <w:jc w:val="center"/>
              <w:rPr>
                <w:rFonts w:cstheme="minorHAnsi"/>
                <w:sz w:val="18"/>
                <w:szCs w:val="18"/>
              </w:rPr>
            </w:pPr>
            <w:r>
              <w:rPr>
                <w:sz w:val="18"/>
                <w:szCs w:val="18"/>
              </w:rPr>
              <w:t xml:space="preserve"> 650.80 </w:t>
            </w:r>
          </w:p>
        </w:tc>
        <w:tc>
          <w:tcPr>
            <w:tcW w:w="915" w:type="dxa"/>
          </w:tcPr>
          <w:p w14:paraId="2BB1F843">
            <w:pPr>
              <w:jc w:val="center"/>
              <w:rPr>
                <w:rFonts w:cstheme="minorHAnsi"/>
                <w:sz w:val="18"/>
                <w:szCs w:val="18"/>
              </w:rPr>
            </w:pPr>
            <w:r>
              <w:rPr>
                <w:sz w:val="18"/>
                <w:szCs w:val="18"/>
              </w:rPr>
              <w:t xml:space="preserve"> 650.80 </w:t>
            </w:r>
          </w:p>
        </w:tc>
        <w:tc>
          <w:tcPr>
            <w:tcW w:w="915" w:type="dxa"/>
          </w:tcPr>
          <w:p w14:paraId="658DDBBC">
            <w:pPr>
              <w:jc w:val="center"/>
              <w:rPr>
                <w:rFonts w:cstheme="minorHAnsi"/>
                <w:sz w:val="18"/>
                <w:szCs w:val="18"/>
              </w:rPr>
            </w:pPr>
            <w:r>
              <w:rPr>
                <w:sz w:val="18"/>
                <w:szCs w:val="18"/>
              </w:rPr>
              <w:t xml:space="preserve"> 650.80 </w:t>
            </w:r>
          </w:p>
        </w:tc>
        <w:tc>
          <w:tcPr>
            <w:tcW w:w="915" w:type="dxa"/>
          </w:tcPr>
          <w:p w14:paraId="0E339A62">
            <w:pPr>
              <w:jc w:val="center"/>
              <w:rPr>
                <w:rFonts w:cstheme="minorHAnsi"/>
                <w:sz w:val="18"/>
                <w:szCs w:val="18"/>
              </w:rPr>
            </w:pPr>
            <w:r>
              <w:rPr>
                <w:sz w:val="18"/>
                <w:szCs w:val="18"/>
              </w:rPr>
              <w:t xml:space="preserve"> 650.80 </w:t>
            </w:r>
          </w:p>
        </w:tc>
        <w:tc>
          <w:tcPr>
            <w:tcW w:w="915" w:type="dxa"/>
          </w:tcPr>
          <w:p w14:paraId="6CB66855">
            <w:pPr>
              <w:jc w:val="center"/>
              <w:rPr>
                <w:rFonts w:cstheme="minorHAnsi"/>
                <w:sz w:val="18"/>
                <w:szCs w:val="18"/>
              </w:rPr>
            </w:pPr>
            <w:r>
              <w:rPr>
                <w:sz w:val="18"/>
                <w:szCs w:val="18"/>
              </w:rPr>
              <w:t xml:space="preserve"> 650.80 </w:t>
            </w:r>
          </w:p>
        </w:tc>
        <w:tc>
          <w:tcPr>
            <w:tcW w:w="915" w:type="dxa"/>
          </w:tcPr>
          <w:p w14:paraId="2CCD70B4">
            <w:pPr>
              <w:jc w:val="center"/>
              <w:rPr>
                <w:rFonts w:cstheme="minorHAnsi"/>
                <w:sz w:val="18"/>
                <w:szCs w:val="18"/>
              </w:rPr>
            </w:pPr>
            <w:r>
              <w:rPr>
                <w:sz w:val="18"/>
                <w:szCs w:val="18"/>
              </w:rPr>
              <w:t xml:space="preserve"> 650.80 </w:t>
            </w:r>
          </w:p>
        </w:tc>
        <w:tc>
          <w:tcPr>
            <w:tcW w:w="915" w:type="dxa"/>
          </w:tcPr>
          <w:p w14:paraId="60696B8D">
            <w:pPr>
              <w:jc w:val="center"/>
              <w:rPr>
                <w:rFonts w:cstheme="minorHAnsi"/>
                <w:sz w:val="18"/>
                <w:szCs w:val="18"/>
              </w:rPr>
            </w:pPr>
            <w:r>
              <w:rPr>
                <w:sz w:val="18"/>
                <w:szCs w:val="18"/>
              </w:rPr>
              <w:t xml:space="preserve"> 650.80 </w:t>
            </w:r>
          </w:p>
        </w:tc>
        <w:tc>
          <w:tcPr>
            <w:tcW w:w="915" w:type="dxa"/>
          </w:tcPr>
          <w:p w14:paraId="474FE8F9">
            <w:pPr>
              <w:jc w:val="center"/>
              <w:rPr>
                <w:rFonts w:cstheme="minorHAnsi"/>
                <w:sz w:val="18"/>
                <w:szCs w:val="18"/>
              </w:rPr>
            </w:pPr>
            <w:r>
              <w:rPr>
                <w:sz w:val="18"/>
                <w:szCs w:val="18"/>
              </w:rPr>
              <w:t xml:space="preserve"> 650.80 </w:t>
            </w:r>
          </w:p>
        </w:tc>
        <w:tc>
          <w:tcPr>
            <w:tcW w:w="915" w:type="dxa"/>
          </w:tcPr>
          <w:p w14:paraId="5FA96FBF">
            <w:pPr>
              <w:jc w:val="center"/>
              <w:rPr>
                <w:rFonts w:cstheme="minorHAnsi"/>
                <w:sz w:val="18"/>
                <w:szCs w:val="18"/>
              </w:rPr>
            </w:pPr>
            <w:r>
              <w:rPr>
                <w:sz w:val="18"/>
                <w:szCs w:val="18"/>
              </w:rPr>
              <w:t xml:space="preserve"> 650.80 </w:t>
            </w:r>
          </w:p>
        </w:tc>
        <w:tc>
          <w:tcPr>
            <w:tcW w:w="915" w:type="dxa"/>
          </w:tcPr>
          <w:p w14:paraId="0230E3AF">
            <w:pPr>
              <w:jc w:val="center"/>
              <w:rPr>
                <w:rFonts w:cstheme="minorHAnsi"/>
                <w:sz w:val="18"/>
                <w:szCs w:val="18"/>
              </w:rPr>
            </w:pPr>
            <w:r>
              <w:rPr>
                <w:sz w:val="18"/>
                <w:szCs w:val="18"/>
              </w:rPr>
              <w:t xml:space="preserve"> 650.80 </w:t>
            </w:r>
          </w:p>
        </w:tc>
        <w:tc>
          <w:tcPr>
            <w:tcW w:w="915" w:type="dxa"/>
          </w:tcPr>
          <w:p w14:paraId="289B5644">
            <w:pPr>
              <w:jc w:val="center"/>
              <w:rPr>
                <w:rFonts w:cstheme="minorHAnsi"/>
                <w:sz w:val="18"/>
                <w:szCs w:val="18"/>
              </w:rPr>
            </w:pPr>
            <w:r>
              <w:rPr>
                <w:sz w:val="18"/>
                <w:szCs w:val="18"/>
              </w:rPr>
              <w:t xml:space="preserve"> 650.80 </w:t>
            </w:r>
          </w:p>
        </w:tc>
        <w:tc>
          <w:tcPr>
            <w:tcW w:w="915" w:type="dxa"/>
          </w:tcPr>
          <w:p w14:paraId="6A493031">
            <w:pPr>
              <w:jc w:val="center"/>
              <w:rPr>
                <w:rFonts w:cstheme="minorHAnsi"/>
                <w:sz w:val="18"/>
                <w:szCs w:val="18"/>
              </w:rPr>
            </w:pPr>
            <w:r>
              <w:rPr>
                <w:sz w:val="18"/>
                <w:szCs w:val="18"/>
              </w:rPr>
              <w:t xml:space="preserve"> 650.80 </w:t>
            </w:r>
          </w:p>
        </w:tc>
        <w:tc>
          <w:tcPr>
            <w:tcW w:w="915" w:type="dxa"/>
          </w:tcPr>
          <w:p w14:paraId="14CAAF34">
            <w:pPr>
              <w:jc w:val="center"/>
              <w:rPr>
                <w:rFonts w:cstheme="minorHAnsi"/>
                <w:sz w:val="18"/>
                <w:szCs w:val="18"/>
              </w:rPr>
            </w:pPr>
            <w:r>
              <w:rPr>
                <w:sz w:val="18"/>
                <w:szCs w:val="18"/>
              </w:rPr>
              <w:t xml:space="preserve"> 650.80 </w:t>
            </w:r>
          </w:p>
        </w:tc>
      </w:tr>
      <w:tr w14:paraId="2D58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22" w:type="dxa"/>
          </w:tcPr>
          <w:p w14:paraId="076868DA">
            <w:pPr>
              <w:rPr>
                <w:rFonts w:cstheme="minorHAnsi"/>
                <w:sz w:val="18"/>
                <w:szCs w:val="18"/>
              </w:rPr>
            </w:pPr>
            <w:r>
              <w:rPr>
                <w:rFonts w:cstheme="minorHAnsi"/>
                <w:sz w:val="18"/>
                <w:szCs w:val="18"/>
              </w:rPr>
              <w:t>4</w:t>
            </w:r>
          </w:p>
        </w:tc>
        <w:tc>
          <w:tcPr>
            <w:tcW w:w="937" w:type="dxa"/>
          </w:tcPr>
          <w:p w14:paraId="4B8B3881">
            <w:pPr>
              <w:rPr>
                <w:rFonts w:cstheme="minorHAnsi"/>
                <w:sz w:val="18"/>
                <w:szCs w:val="18"/>
              </w:rPr>
            </w:pPr>
            <w:r>
              <w:rPr>
                <w:rFonts w:cstheme="minorHAnsi"/>
                <w:sz w:val="18"/>
                <w:szCs w:val="18"/>
              </w:rPr>
              <w:t>累计所得税前净现金流</w:t>
            </w:r>
          </w:p>
        </w:tc>
        <w:tc>
          <w:tcPr>
            <w:tcW w:w="1126" w:type="dxa"/>
          </w:tcPr>
          <w:p w14:paraId="37038761">
            <w:pPr>
              <w:jc w:val="center"/>
              <w:rPr>
                <w:rFonts w:cstheme="minorHAnsi"/>
                <w:sz w:val="18"/>
                <w:szCs w:val="18"/>
              </w:rPr>
            </w:pPr>
            <w:r>
              <w:rPr>
                <w:sz w:val="18"/>
                <w:szCs w:val="18"/>
              </w:rPr>
              <w:t xml:space="preserve"> -10,349.20 </w:t>
            </w:r>
          </w:p>
        </w:tc>
        <w:tc>
          <w:tcPr>
            <w:tcW w:w="915" w:type="dxa"/>
          </w:tcPr>
          <w:p w14:paraId="1D6D57E7">
            <w:pPr>
              <w:jc w:val="center"/>
              <w:rPr>
                <w:rFonts w:cstheme="minorHAnsi"/>
                <w:sz w:val="18"/>
                <w:szCs w:val="18"/>
              </w:rPr>
            </w:pPr>
            <w:r>
              <w:rPr>
                <w:sz w:val="18"/>
                <w:szCs w:val="18"/>
              </w:rPr>
              <w:t xml:space="preserve"> -9,698.41 </w:t>
            </w:r>
          </w:p>
        </w:tc>
        <w:tc>
          <w:tcPr>
            <w:tcW w:w="915" w:type="dxa"/>
          </w:tcPr>
          <w:p w14:paraId="06D1ED39">
            <w:pPr>
              <w:jc w:val="center"/>
              <w:rPr>
                <w:rFonts w:cstheme="minorHAnsi"/>
                <w:sz w:val="18"/>
                <w:szCs w:val="18"/>
              </w:rPr>
            </w:pPr>
            <w:r>
              <w:rPr>
                <w:sz w:val="18"/>
                <w:szCs w:val="18"/>
              </w:rPr>
              <w:t xml:space="preserve"> -9,047.61 </w:t>
            </w:r>
          </w:p>
        </w:tc>
        <w:tc>
          <w:tcPr>
            <w:tcW w:w="915" w:type="dxa"/>
          </w:tcPr>
          <w:p w14:paraId="3E864EF1">
            <w:pPr>
              <w:jc w:val="center"/>
              <w:rPr>
                <w:rFonts w:cstheme="minorHAnsi"/>
                <w:sz w:val="18"/>
                <w:szCs w:val="18"/>
              </w:rPr>
            </w:pPr>
            <w:r>
              <w:rPr>
                <w:sz w:val="18"/>
                <w:szCs w:val="18"/>
              </w:rPr>
              <w:t xml:space="preserve"> -8,396.81 </w:t>
            </w:r>
          </w:p>
        </w:tc>
        <w:tc>
          <w:tcPr>
            <w:tcW w:w="915" w:type="dxa"/>
          </w:tcPr>
          <w:p w14:paraId="418F45F9">
            <w:pPr>
              <w:jc w:val="center"/>
              <w:rPr>
                <w:rFonts w:cstheme="minorHAnsi"/>
                <w:sz w:val="18"/>
                <w:szCs w:val="18"/>
              </w:rPr>
            </w:pPr>
            <w:r>
              <w:rPr>
                <w:sz w:val="18"/>
                <w:szCs w:val="18"/>
              </w:rPr>
              <w:t xml:space="preserve"> -7,746.01 </w:t>
            </w:r>
          </w:p>
        </w:tc>
        <w:tc>
          <w:tcPr>
            <w:tcW w:w="915" w:type="dxa"/>
          </w:tcPr>
          <w:p w14:paraId="307C33CE">
            <w:pPr>
              <w:jc w:val="center"/>
              <w:rPr>
                <w:rFonts w:cstheme="minorHAnsi"/>
                <w:sz w:val="18"/>
                <w:szCs w:val="18"/>
              </w:rPr>
            </w:pPr>
            <w:r>
              <w:rPr>
                <w:sz w:val="18"/>
                <w:szCs w:val="18"/>
              </w:rPr>
              <w:t xml:space="preserve"> -7,095.22 </w:t>
            </w:r>
          </w:p>
        </w:tc>
        <w:tc>
          <w:tcPr>
            <w:tcW w:w="915" w:type="dxa"/>
          </w:tcPr>
          <w:p w14:paraId="27DC3137">
            <w:pPr>
              <w:jc w:val="center"/>
              <w:rPr>
                <w:rFonts w:cstheme="minorHAnsi"/>
                <w:sz w:val="18"/>
                <w:szCs w:val="18"/>
              </w:rPr>
            </w:pPr>
            <w:r>
              <w:rPr>
                <w:sz w:val="18"/>
                <w:szCs w:val="18"/>
              </w:rPr>
              <w:t xml:space="preserve"> -6,444.42 </w:t>
            </w:r>
          </w:p>
        </w:tc>
        <w:tc>
          <w:tcPr>
            <w:tcW w:w="915" w:type="dxa"/>
          </w:tcPr>
          <w:p w14:paraId="4558DA7B">
            <w:pPr>
              <w:jc w:val="center"/>
              <w:rPr>
                <w:rFonts w:cstheme="minorHAnsi"/>
                <w:sz w:val="18"/>
                <w:szCs w:val="18"/>
              </w:rPr>
            </w:pPr>
            <w:r>
              <w:rPr>
                <w:sz w:val="18"/>
                <w:szCs w:val="18"/>
              </w:rPr>
              <w:t xml:space="preserve"> -5,793.62 </w:t>
            </w:r>
          </w:p>
        </w:tc>
        <w:tc>
          <w:tcPr>
            <w:tcW w:w="915" w:type="dxa"/>
          </w:tcPr>
          <w:p w14:paraId="7CC26FCE">
            <w:pPr>
              <w:jc w:val="center"/>
              <w:rPr>
                <w:rFonts w:cstheme="minorHAnsi"/>
                <w:sz w:val="18"/>
                <w:szCs w:val="18"/>
              </w:rPr>
            </w:pPr>
            <w:r>
              <w:rPr>
                <w:sz w:val="18"/>
                <w:szCs w:val="18"/>
              </w:rPr>
              <w:t xml:space="preserve"> -5,142.83 </w:t>
            </w:r>
          </w:p>
        </w:tc>
        <w:tc>
          <w:tcPr>
            <w:tcW w:w="915" w:type="dxa"/>
          </w:tcPr>
          <w:p w14:paraId="4A482AD8">
            <w:pPr>
              <w:jc w:val="center"/>
              <w:rPr>
                <w:rFonts w:cstheme="minorHAnsi"/>
                <w:sz w:val="18"/>
                <w:szCs w:val="18"/>
              </w:rPr>
            </w:pPr>
            <w:r>
              <w:rPr>
                <w:sz w:val="18"/>
                <w:szCs w:val="18"/>
              </w:rPr>
              <w:t xml:space="preserve"> -4,492.03 </w:t>
            </w:r>
          </w:p>
        </w:tc>
        <w:tc>
          <w:tcPr>
            <w:tcW w:w="915" w:type="dxa"/>
          </w:tcPr>
          <w:p w14:paraId="4DA087CB">
            <w:pPr>
              <w:jc w:val="center"/>
              <w:rPr>
                <w:rFonts w:cstheme="minorHAnsi"/>
                <w:sz w:val="18"/>
                <w:szCs w:val="18"/>
              </w:rPr>
            </w:pPr>
            <w:r>
              <w:rPr>
                <w:sz w:val="18"/>
                <w:szCs w:val="18"/>
              </w:rPr>
              <w:t xml:space="preserve"> -3,841.23 </w:t>
            </w:r>
          </w:p>
        </w:tc>
        <w:tc>
          <w:tcPr>
            <w:tcW w:w="915" w:type="dxa"/>
          </w:tcPr>
          <w:p w14:paraId="22866318">
            <w:pPr>
              <w:jc w:val="center"/>
              <w:rPr>
                <w:rFonts w:cstheme="minorHAnsi"/>
                <w:sz w:val="18"/>
                <w:szCs w:val="18"/>
              </w:rPr>
            </w:pPr>
            <w:r>
              <w:rPr>
                <w:sz w:val="18"/>
                <w:szCs w:val="18"/>
              </w:rPr>
              <w:t xml:space="preserve"> -3,190.43 </w:t>
            </w:r>
          </w:p>
        </w:tc>
        <w:tc>
          <w:tcPr>
            <w:tcW w:w="915" w:type="dxa"/>
          </w:tcPr>
          <w:p w14:paraId="18945C39">
            <w:pPr>
              <w:jc w:val="center"/>
              <w:rPr>
                <w:rFonts w:cstheme="minorHAnsi"/>
                <w:sz w:val="18"/>
                <w:szCs w:val="18"/>
              </w:rPr>
            </w:pPr>
            <w:r>
              <w:rPr>
                <w:sz w:val="18"/>
                <w:szCs w:val="18"/>
              </w:rPr>
              <w:t xml:space="preserve"> -2,539.64 </w:t>
            </w:r>
          </w:p>
        </w:tc>
        <w:tc>
          <w:tcPr>
            <w:tcW w:w="915" w:type="dxa"/>
          </w:tcPr>
          <w:p w14:paraId="0EA2BBA5">
            <w:pPr>
              <w:jc w:val="center"/>
              <w:rPr>
                <w:rFonts w:cstheme="minorHAnsi"/>
                <w:sz w:val="18"/>
                <w:szCs w:val="18"/>
              </w:rPr>
            </w:pPr>
            <w:r>
              <w:rPr>
                <w:sz w:val="18"/>
                <w:szCs w:val="18"/>
              </w:rPr>
              <w:t xml:space="preserve"> -1,888.84 </w:t>
            </w:r>
          </w:p>
        </w:tc>
        <w:tc>
          <w:tcPr>
            <w:tcW w:w="915" w:type="dxa"/>
          </w:tcPr>
          <w:p w14:paraId="1405609E">
            <w:pPr>
              <w:jc w:val="center"/>
              <w:rPr>
                <w:rFonts w:cstheme="minorHAnsi"/>
                <w:sz w:val="18"/>
                <w:szCs w:val="18"/>
              </w:rPr>
            </w:pPr>
            <w:r>
              <w:rPr>
                <w:sz w:val="18"/>
                <w:szCs w:val="18"/>
              </w:rPr>
              <w:t xml:space="preserve"> -1,238.04 </w:t>
            </w:r>
          </w:p>
        </w:tc>
      </w:tr>
      <w:tr w14:paraId="6A8E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22" w:type="dxa"/>
          </w:tcPr>
          <w:p w14:paraId="44D05635">
            <w:pPr>
              <w:rPr>
                <w:rFonts w:cstheme="minorHAnsi"/>
                <w:sz w:val="18"/>
                <w:szCs w:val="18"/>
              </w:rPr>
            </w:pPr>
            <w:r>
              <w:rPr>
                <w:rFonts w:cstheme="minorHAnsi"/>
                <w:sz w:val="18"/>
                <w:szCs w:val="18"/>
              </w:rPr>
              <w:t>5</w:t>
            </w:r>
          </w:p>
        </w:tc>
        <w:tc>
          <w:tcPr>
            <w:tcW w:w="937" w:type="dxa"/>
          </w:tcPr>
          <w:p w14:paraId="0788055A">
            <w:pPr>
              <w:rPr>
                <w:rFonts w:cstheme="minorHAnsi"/>
                <w:sz w:val="18"/>
                <w:szCs w:val="18"/>
              </w:rPr>
            </w:pPr>
            <w:r>
              <w:rPr>
                <w:rFonts w:cstheme="minorHAnsi"/>
                <w:sz w:val="18"/>
                <w:szCs w:val="18"/>
              </w:rPr>
              <w:t>调整所得税</w:t>
            </w:r>
          </w:p>
        </w:tc>
        <w:tc>
          <w:tcPr>
            <w:tcW w:w="1126" w:type="dxa"/>
          </w:tcPr>
          <w:p w14:paraId="0841F5DC">
            <w:pPr>
              <w:jc w:val="center"/>
              <w:rPr>
                <w:rFonts w:cstheme="minorHAnsi"/>
                <w:sz w:val="18"/>
                <w:szCs w:val="18"/>
              </w:rPr>
            </w:pPr>
            <w:r>
              <w:rPr>
                <w:sz w:val="18"/>
                <w:szCs w:val="18"/>
              </w:rPr>
              <w:t xml:space="preserve">0.00 </w:t>
            </w:r>
          </w:p>
        </w:tc>
        <w:tc>
          <w:tcPr>
            <w:tcW w:w="915" w:type="dxa"/>
          </w:tcPr>
          <w:p w14:paraId="6581BA2F">
            <w:pPr>
              <w:jc w:val="center"/>
              <w:rPr>
                <w:rFonts w:cstheme="minorHAnsi"/>
                <w:sz w:val="18"/>
                <w:szCs w:val="18"/>
              </w:rPr>
            </w:pPr>
            <w:r>
              <w:rPr>
                <w:sz w:val="18"/>
                <w:szCs w:val="18"/>
              </w:rPr>
              <w:t xml:space="preserve">0.00 </w:t>
            </w:r>
          </w:p>
        </w:tc>
        <w:tc>
          <w:tcPr>
            <w:tcW w:w="915" w:type="dxa"/>
          </w:tcPr>
          <w:p w14:paraId="3CD07EEE">
            <w:pPr>
              <w:jc w:val="center"/>
              <w:rPr>
                <w:rFonts w:cstheme="minorHAnsi"/>
                <w:sz w:val="18"/>
                <w:szCs w:val="18"/>
              </w:rPr>
            </w:pPr>
            <w:r>
              <w:rPr>
                <w:sz w:val="18"/>
                <w:szCs w:val="18"/>
              </w:rPr>
              <w:t xml:space="preserve">0.00 </w:t>
            </w:r>
          </w:p>
        </w:tc>
        <w:tc>
          <w:tcPr>
            <w:tcW w:w="915" w:type="dxa"/>
          </w:tcPr>
          <w:p w14:paraId="25A252D8">
            <w:pPr>
              <w:jc w:val="center"/>
              <w:rPr>
                <w:rFonts w:cstheme="minorHAnsi"/>
                <w:sz w:val="18"/>
                <w:szCs w:val="18"/>
              </w:rPr>
            </w:pPr>
            <w:r>
              <w:rPr>
                <w:sz w:val="18"/>
                <w:szCs w:val="18"/>
              </w:rPr>
              <w:t xml:space="preserve">37.03 </w:t>
            </w:r>
          </w:p>
        </w:tc>
        <w:tc>
          <w:tcPr>
            <w:tcW w:w="915" w:type="dxa"/>
          </w:tcPr>
          <w:p w14:paraId="5F50EEE6">
            <w:pPr>
              <w:jc w:val="center"/>
              <w:rPr>
                <w:rFonts w:cstheme="minorHAnsi"/>
                <w:sz w:val="18"/>
                <w:szCs w:val="18"/>
              </w:rPr>
            </w:pPr>
            <w:r>
              <w:rPr>
                <w:sz w:val="18"/>
                <w:szCs w:val="18"/>
              </w:rPr>
              <w:t xml:space="preserve">36.19 </w:t>
            </w:r>
          </w:p>
        </w:tc>
        <w:tc>
          <w:tcPr>
            <w:tcW w:w="915" w:type="dxa"/>
          </w:tcPr>
          <w:p w14:paraId="3EE9E3DE">
            <w:pPr>
              <w:jc w:val="center"/>
              <w:rPr>
                <w:rFonts w:cstheme="minorHAnsi"/>
                <w:sz w:val="18"/>
                <w:szCs w:val="18"/>
              </w:rPr>
            </w:pPr>
            <w:r>
              <w:rPr>
                <w:sz w:val="18"/>
                <w:szCs w:val="18"/>
              </w:rPr>
              <w:t xml:space="preserve">35.33 </w:t>
            </w:r>
          </w:p>
        </w:tc>
        <w:tc>
          <w:tcPr>
            <w:tcW w:w="915" w:type="dxa"/>
          </w:tcPr>
          <w:p w14:paraId="2DD78E39">
            <w:pPr>
              <w:jc w:val="center"/>
              <w:rPr>
                <w:rFonts w:cstheme="minorHAnsi"/>
                <w:sz w:val="18"/>
                <w:szCs w:val="18"/>
              </w:rPr>
            </w:pPr>
            <w:r>
              <w:rPr>
                <w:sz w:val="18"/>
                <w:szCs w:val="18"/>
              </w:rPr>
              <w:t xml:space="preserve"> 68.86 </w:t>
            </w:r>
          </w:p>
        </w:tc>
        <w:tc>
          <w:tcPr>
            <w:tcW w:w="915" w:type="dxa"/>
          </w:tcPr>
          <w:p w14:paraId="4177DAA0">
            <w:pPr>
              <w:jc w:val="center"/>
              <w:rPr>
                <w:rFonts w:cstheme="minorHAnsi"/>
                <w:sz w:val="18"/>
                <w:szCs w:val="18"/>
              </w:rPr>
            </w:pPr>
            <w:r>
              <w:rPr>
                <w:sz w:val="18"/>
                <w:szCs w:val="18"/>
              </w:rPr>
              <w:t xml:space="preserve"> 67.01 </w:t>
            </w:r>
          </w:p>
        </w:tc>
        <w:tc>
          <w:tcPr>
            <w:tcW w:w="915" w:type="dxa"/>
          </w:tcPr>
          <w:p w14:paraId="2E0B15A0">
            <w:pPr>
              <w:jc w:val="center"/>
              <w:rPr>
                <w:rFonts w:cstheme="minorHAnsi"/>
                <w:sz w:val="18"/>
                <w:szCs w:val="18"/>
              </w:rPr>
            </w:pPr>
            <w:r>
              <w:rPr>
                <w:sz w:val="18"/>
                <w:szCs w:val="18"/>
              </w:rPr>
              <w:t xml:space="preserve"> 66.66 </w:t>
            </w:r>
          </w:p>
        </w:tc>
        <w:tc>
          <w:tcPr>
            <w:tcW w:w="915" w:type="dxa"/>
          </w:tcPr>
          <w:p w14:paraId="7A496B5F">
            <w:pPr>
              <w:jc w:val="center"/>
              <w:rPr>
                <w:rFonts w:cstheme="minorHAnsi"/>
                <w:sz w:val="18"/>
                <w:szCs w:val="18"/>
              </w:rPr>
            </w:pPr>
            <w:r>
              <w:rPr>
                <w:sz w:val="18"/>
                <w:szCs w:val="18"/>
              </w:rPr>
              <w:t xml:space="preserve"> 71.03 </w:t>
            </w:r>
          </w:p>
        </w:tc>
        <w:tc>
          <w:tcPr>
            <w:tcW w:w="915" w:type="dxa"/>
          </w:tcPr>
          <w:p w14:paraId="6DA909F4">
            <w:pPr>
              <w:jc w:val="center"/>
              <w:rPr>
                <w:rFonts w:cstheme="minorHAnsi"/>
                <w:sz w:val="18"/>
                <w:szCs w:val="18"/>
              </w:rPr>
            </w:pPr>
            <w:r>
              <w:rPr>
                <w:sz w:val="18"/>
                <w:szCs w:val="18"/>
              </w:rPr>
              <w:t xml:space="preserve"> 71.03 </w:t>
            </w:r>
          </w:p>
        </w:tc>
        <w:tc>
          <w:tcPr>
            <w:tcW w:w="915" w:type="dxa"/>
          </w:tcPr>
          <w:p w14:paraId="08EFCBF5">
            <w:pPr>
              <w:jc w:val="center"/>
              <w:rPr>
                <w:rFonts w:cstheme="minorHAnsi"/>
                <w:sz w:val="18"/>
                <w:szCs w:val="18"/>
              </w:rPr>
            </w:pPr>
            <w:r>
              <w:rPr>
                <w:sz w:val="18"/>
                <w:szCs w:val="18"/>
              </w:rPr>
              <w:t xml:space="preserve"> 71.03 </w:t>
            </w:r>
          </w:p>
        </w:tc>
        <w:tc>
          <w:tcPr>
            <w:tcW w:w="915" w:type="dxa"/>
          </w:tcPr>
          <w:p w14:paraId="72702249">
            <w:pPr>
              <w:jc w:val="center"/>
              <w:rPr>
                <w:rFonts w:cstheme="minorHAnsi"/>
                <w:sz w:val="18"/>
                <w:szCs w:val="18"/>
              </w:rPr>
            </w:pPr>
            <w:r>
              <w:rPr>
                <w:sz w:val="18"/>
                <w:szCs w:val="18"/>
              </w:rPr>
              <w:t xml:space="preserve"> 71.03 </w:t>
            </w:r>
          </w:p>
        </w:tc>
        <w:tc>
          <w:tcPr>
            <w:tcW w:w="915" w:type="dxa"/>
          </w:tcPr>
          <w:p w14:paraId="52E031C5">
            <w:pPr>
              <w:jc w:val="center"/>
              <w:rPr>
                <w:rFonts w:cstheme="minorHAnsi"/>
                <w:sz w:val="18"/>
                <w:szCs w:val="18"/>
              </w:rPr>
            </w:pPr>
            <w:r>
              <w:rPr>
                <w:sz w:val="18"/>
                <w:szCs w:val="18"/>
              </w:rPr>
              <w:t xml:space="preserve"> 71.03 </w:t>
            </w:r>
          </w:p>
        </w:tc>
        <w:tc>
          <w:tcPr>
            <w:tcW w:w="915" w:type="dxa"/>
          </w:tcPr>
          <w:p w14:paraId="7DE23817">
            <w:pPr>
              <w:jc w:val="center"/>
              <w:rPr>
                <w:rFonts w:cstheme="minorHAnsi"/>
                <w:sz w:val="18"/>
                <w:szCs w:val="18"/>
              </w:rPr>
            </w:pPr>
            <w:r>
              <w:rPr>
                <w:sz w:val="18"/>
                <w:szCs w:val="18"/>
              </w:rPr>
              <w:t xml:space="preserve"> 71.03 </w:t>
            </w:r>
          </w:p>
        </w:tc>
      </w:tr>
      <w:tr w14:paraId="0CCE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22" w:type="dxa"/>
          </w:tcPr>
          <w:p w14:paraId="48129DB9">
            <w:pPr>
              <w:rPr>
                <w:rFonts w:cstheme="minorHAnsi"/>
                <w:sz w:val="18"/>
                <w:szCs w:val="18"/>
              </w:rPr>
            </w:pPr>
            <w:r>
              <w:rPr>
                <w:rFonts w:cstheme="minorHAnsi"/>
                <w:sz w:val="18"/>
                <w:szCs w:val="18"/>
              </w:rPr>
              <w:t>6</w:t>
            </w:r>
          </w:p>
        </w:tc>
        <w:tc>
          <w:tcPr>
            <w:tcW w:w="937" w:type="dxa"/>
          </w:tcPr>
          <w:p w14:paraId="0D39A74A">
            <w:pPr>
              <w:rPr>
                <w:rFonts w:cstheme="minorHAnsi"/>
                <w:sz w:val="18"/>
                <w:szCs w:val="18"/>
              </w:rPr>
            </w:pPr>
            <w:r>
              <w:rPr>
                <w:rFonts w:cstheme="minorHAnsi"/>
                <w:sz w:val="18"/>
                <w:szCs w:val="18"/>
              </w:rPr>
              <w:t>所得税后净现金流</w:t>
            </w:r>
          </w:p>
        </w:tc>
        <w:tc>
          <w:tcPr>
            <w:tcW w:w="1126" w:type="dxa"/>
          </w:tcPr>
          <w:p w14:paraId="77D376A1">
            <w:pPr>
              <w:jc w:val="center"/>
              <w:rPr>
                <w:rFonts w:cstheme="minorHAnsi"/>
                <w:sz w:val="18"/>
                <w:szCs w:val="18"/>
              </w:rPr>
            </w:pPr>
            <w:r>
              <w:rPr>
                <w:sz w:val="18"/>
                <w:szCs w:val="18"/>
              </w:rPr>
              <w:t xml:space="preserve"> -10,349.20 </w:t>
            </w:r>
          </w:p>
        </w:tc>
        <w:tc>
          <w:tcPr>
            <w:tcW w:w="915" w:type="dxa"/>
          </w:tcPr>
          <w:p w14:paraId="067AF9E6">
            <w:pPr>
              <w:jc w:val="center"/>
              <w:rPr>
                <w:rFonts w:cstheme="minorHAnsi"/>
                <w:sz w:val="18"/>
                <w:szCs w:val="18"/>
              </w:rPr>
            </w:pPr>
            <w:r>
              <w:rPr>
                <w:sz w:val="18"/>
                <w:szCs w:val="18"/>
              </w:rPr>
              <w:t xml:space="preserve"> 650.80 </w:t>
            </w:r>
          </w:p>
        </w:tc>
        <w:tc>
          <w:tcPr>
            <w:tcW w:w="915" w:type="dxa"/>
          </w:tcPr>
          <w:p w14:paraId="36D1A653">
            <w:pPr>
              <w:jc w:val="center"/>
              <w:rPr>
                <w:rFonts w:cstheme="minorHAnsi"/>
                <w:sz w:val="18"/>
                <w:szCs w:val="18"/>
              </w:rPr>
            </w:pPr>
            <w:r>
              <w:rPr>
                <w:sz w:val="18"/>
                <w:szCs w:val="18"/>
              </w:rPr>
              <w:t xml:space="preserve"> 650.80 </w:t>
            </w:r>
          </w:p>
        </w:tc>
        <w:tc>
          <w:tcPr>
            <w:tcW w:w="915" w:type="dxa"/>
          </w:tcPr>
          <w:p w14:paraId="23E699B7">
            <w:pPr>
              <w:jc w:val="center"/>
              <w:rPr>
                <w:rFonts w:cstheme="minorHAnsi"/>
                <w:sz w:val="18"/>
                <w:szCs w:val="18"/>
              </w:rPr>
            </w:pPr>
            <w:r>
              <w:rPr>
                <w:sz w:val="18"/>
                <w:szCs w:val="18"/>
              </w:rPr>
              <w:t xml:space="preserve"> 613.77 </w:t>
            </w:r>
          </w:p>
        </w:tc>
        <w:tc>
          <w:tcPr>
            <w:tcW w:w="915" w:type="dxa"/>
          </w:tcPr>
          <w:p w14:paraId="60A3D9F8">
            <w:pPr>
              <w:jc w:val="center"/>
              <w:rPr>
                <w:rFonts w:cstheme="minorHAnsi"/>
                <w:sz w:val="18"/>
                <w:szCs w:val="18"/>
              </w:rPr>
            </w:pPr>
            <w:r>
              <w:rPr>
                <w:sz w:val="18"/>
                <w:szCs w:val="18"/>
              </w:rPr>
              <w:t xml:space="preserve"> 614.61 </w:t>
            </w:r>
          </w:p>
        </w:tc>
        <w:tc>
          <w:tcPr>
            <w:tcW w:w="915" w:type="dxa"/>
          </w:tcPr>
          <w:p w14:paraId="08EDECCB">
            <w:pPr>
              <w:jc w:val="center"/>
              <w:rPr>
                <w:rFonts w:cstheme="minorHAnsi"/>
                <w:sz w:val="18"/>
                <w:szCs w:val="18"/>
              </w:rPr>
            </w:pPr>
            <w:r>
              <w:rPr>
                <w:sz w:val="18"/>
                <w:szCs w:val="18"/>
              </w:rPr>
              <w:t xml:space="preserve"> 615.47 </w:t>
            </w:r>
          </w:p>
        </w:tc>
        <w:tc>
          <w:tcPr>
            <w:tcW w:w="915" w:type="dxa"/>
          </w:tcPr>
          <w:p w14:paraId="2AA1D83A">
            <w:pPr>
              <w:jc w:val="center"/>
              <w:rPr>
                <w:rFonts w:cstheme="minorHAnsi"/>
                <w:sz w:val="18"/>
                <w:szCs w:val="18"/>
              </w:rPr>
            </w:pPr>
            <w:r>
              <w:rPr>
                <w:sz w:val="18"/>
                <w:szCs w:val="18"/>
              </w:rPr>
              <w:t xml:space="preserve"> 581.93 </w:t>
            </w:r>
          </w:p>
        </w:tc>
        <w:tc>
          <w:tcPr>
            <w:tcW w:w="915" w:type="dxa"/>
          </w:tcPr>
          <w:p w14:paraId="1DF0F08E">
            <w:pPr>
              <w:jc w:val="center"/>
              <w:rPr>
                <w:rFonts w:cstheme="minorHAnsi"/>
                <w:sz w:val="18"/>
                <w:szCs w:val="18"/>
              </w:rPr>
            </w:pPr>
            <w:r>
              <w:rPr>
                <w:sz w:val="18"/>
                <w:szCs w:val="18"/>
              </w:rPr>
              <w:t xml:space="preserve"> 583.79 </w:t>
            </w:r>
          </w:p>
        </w:tc>
        <w:tc>
          <w:tcPr>
            <w:tcW w:w="915" w:type="dxa"/>
          </w:tcPr>
          <w:p w14:paraId="3F493600">
            <w:pPr>
              <w:jc w:val="center"/>
              <w:rPr>
                <w:rFonts w:cstheme="minorHAnsi"/>
                <w:sz w:val="18"/>
                <w:szCs w:val="18"/>
              </w:rPr>
            </w:pPr>
            <w:r>
              <w:rPr>
                <w:sz w:val="18"/>
                <w:szCs w:val="18"/>
              </w:rPr>
              <w:t xml:space="preserve"> 584.13 </w:t>
            </w:r>
          </w:p>
        </w:tc>
        <w:tc>
          <w:tcPr>
            <w:tcW w:w="915" w:type="dxa"/>
          </w:tcPr>
          <w:p w14:paraId="76A9839A">
            <w:pPr>
              <w:jc w:val="center"/>
              <w:rPr>
                <w:rFonts w:cstheme="minorHAnsi"/>
                <w:sz w:val="18"/>
                <w:szCs w:val="18"/>
              </w:rPr>
            </w:pPr>
            <w:r>
              <w:rPr>
                <w:sz w:val="18"/>
                <w:szCs w:val="18"/>
              </w:rPr>
              <w:t xml:space="preserve"> 579.76 </w:t>
            </w:r>
          </w:p>
        </w:tc>
        <w:tc>
          <w:tcPr>
            <w:tcW w:w="915" w:type="dxa"/>
          </w:tcPr>
          <w:p w14:paraId="602A9079">
            <w:pPr>
              <w:jc w:val="center"/>
              <w:rPr>
                <w:rFonts w:cstheme="minorHAnsi"/>
                <w:sz w:val="18"/>
                <w:szCs w:val="18"/>
              </w:rPr>
            </w:pPr>
            <w:r>
              <w:rPr>
                <w:sz w:val="18"/>
                <w:szCs w:val="18"/>
              </w:rPr>
              <w:t xml:space="preserve"> 579.76 </w:t>
            </w:r>
          </w:p>
        </w:tc>
        <w:tc>
          <w:tcPr>
            <w:tcW w:w="915" w:type="dxa"/>
          </w:tcPr>
          <w:p w14:paraId="5BF55097">
            <w:pPr>
              <w:jc w:val="center"/>
              <w:rPr>
                <w:rFonts w:cstheme="minorHAnsi"/>
                <w:sz w:val="18"/>
                <w:szCs w:val="18"/>
              </w:rPr>
            </w:pPr>
            <w:r>
              <w:rPr>
                <w:sz w:val="18"/>
                <w:szCs w:val="18"/>
              </w:rPr>
              <w:t xml:space="preserve"> 579.76 </w:t>
            </w:r>
          </w:p>
        </w:tc>
        <w:tc>
          <w:tcPr>
            <w:tcW w:w="915" w:type="dxa"/>
          </w:tcPr>
          <w:p w14:paraId="6D219A80">
            <w:pPr>
              <w:jc w:val="center"/>
              <w:rPr>
                <w:rFonts w:cstheme="minorHAnsi"/>
                <w:sz w:val="18"/>
                <w:szCs w:val="18"/>
              </w:rPr>
            </w:pPr>
            <w:r>
              <w:rPr>
                <w:sz w:val="18"/>
                <w:szCs w:val="18"/>
              </w:rPr>
              <w:t xml:space="preserve"> 579.76 </w:t>
            </w:r>
          </w:p>
        </w:tc>
        <w:tc>
          <w:tcPr>
            <w:tcW w:w="915" w:type="dxa"/>
          </w:tcPr>
          <w:p w14:paraId="3D31250C">
            <w:pPr>
              <w:jc w:val="center"/>
              <w:rPr>
                <w:rFonts w:cstheme="minorHAnsi"/>
                <w:sz w:val="18"/>
                <w:szCs w:val="18"/>
              </w:rPr>
            </w:pPr>
            <w:r>
              <w:rPr>
                <w:sz w:val="18"/>
                <w:szCs w:val="18"/>
              </w:rPr>
              <w:t xml:space="preserve"> 579.76 </w:t>
            </w:r>
          </w:p>
        </w:tc>
        <w:tc>
          <w:tcPr>
            <w:tcW w:w="915" w:type="dxa"/>
          </w:tcPr>
          <w:p w14:paraId="216723A4">
            <w:pPr>
              <w:jc w:val="center"/>
              <w:rPr>
                <w:rFonts w:cstheme="minorHAnsi"/>
                <w:sz w:val="18"/>
                <w:szCs w:val="18"/>
              </w:rPr>
            </w:pPr>
            <w:r>
              <w:rPr>
                <w:sz w:val="18"/>
                <w:szCs w:val="18"/>
              </w:rPr>
              <w:t xml:space="preserve"> 579.76 </w:t>
            </w:r>
          </w:p>
        </w:tc>
      </w:tr>
      <w:tr w14:paraId="25D3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22" w:type="dxa"/>
          </w:tcPr>
          <w:p w14:paraId="2D8145C4">
            <w:pPr>
              <w:rPr>
                <w:rFonts w:cstheme="minorHAnsi"/>
                <w:sz w:val="18"/>
                <w:szCs w:val="18"/>
              </w:rPr>
            </w:pPr>
            <w:r>
              <w:rPr>
                <w:rFonts w:cstheme="minorHAnsi"/>
                <w:sz w:val="18"/>
                <w:szCs w:val="18"/>
              </w:rPr>
              <w:t>7</w:t>
            </w:r>
          </w:p>
        </w:tc>
        <w:tc>
          <w:tcPr>
            <w:tcW w:w="937" w:type="dxa"/>
          </w:tcPr>
          <w:p w14:paraId="535E2D0B">
            <w:pPr>
              <w:rPr>
                <w:rFonts w:cstheme="minorHAnsi"/>
                <w:sz w:val="18"/>
                <w:szCs w:val="18"/>
              </w:rPr>
            </w:pPr>
            <w:r>
              <w:rPr>
                <w:rFonts w:cstheme="minorHAnsi"/>
                <w:sz w:val="18"/>
                <w:szCs w:val="18"/>
              </w:rPr>
              <w:t>累计所得税后净现金流</w:t>
            </w:r>
          </w:p>
        </w:tc>
        <w:tc>
          <w:tcPr>
            <w:tcW w:w="1126" w:type="dxa"/>
          </w:tcPr>
          <w:p w14:paraId="5EF2EBB7">
            <w:pPr>
              <w:jc w:val="center"/>
              <w:rPr>
                <w:rFonts w:cstheme="minorHAnsi"/>
                <w:sz w:val="18"/>
                <w:szCs w:val="18"/>
              </w:rPr>
            </w:pPr>
            <w:r>
              <w:rPr>
                <w:sz w:val="18"/>
                <w:szCs w:val="18"/>
              </w:rPr>
              <w:t xml:space="preserve"> -10,349.20 </w:t>
            </w:r>
          </w:p>
        </w:tc>
        <w:tc>
          <w:tcPr>
            <w:tcW w:w="915" w:type="dxa"/>
          </w:tcPr>
          <w:p w14:paraId="2849BAD3">
            <w:pPr>
              <w:jc w:val="center"/>
              <w:rPr>
                <w:rFonts w:cstheme="minorHAnsi"/>
                <w:sz w:val="18"/>
                <w:szCs w:val="18"/>
              </w:rPr>
            </w:pPr>
            <w:r>
              <w:rPr>
                <w:sz w:val="18"/>
                <w:szCs w:val="18"/>
              </w:rPr>
              <w:t xml:space="preserve"> -9,698.41 </w:t>
            </w:r>
          </w:p>
        </w:tc>
        <w:tc>
          <w:tcPr>
            <w:tcW w:w="915" w:type="dxa"/>
          </w:tcPr>
          <w:p w14:paraId="2F910759">
            <w:pPr>
              <w:jc w:val="center"/>
              <w:rPr>
                <w:rFonts w:cstheme="minorHAnsi"/>
                <w:sz w:val="18"/>
                <w:szCs w:val="18"/>
              </w:rPr>
            </w:pPr>
            <w:r>
              <w:rPr>
                <w:sz w:val="18"/>
                <w:szCs w:val="18"/>
              </w:rPr>
              <w:t xml:space="preserve"> -9,047.61 </w:t>
            </w:r>
          </w:p>
        </w:tc>
        <w:tc>
          <w:tcPr>
            <w:tcW w:w="915" w:type="dxa"/>
          </w:tcPr>
          <w:p w14:paraId="69D39AE0">
            <w:pPr>
              <w:jc w:val="center"/>
              <w:rPr>
                <w:rFonts w:cstheme="minorHAnsi"/>
                <w:sz w:val="18"/>
                <w:szCs w:val="18"/>
              </w:rPr>
            </w:pPr>
            <w:r>
              <w:rPr>
                <w:sz w:val="18"/>
                <w:szCs w:val="18"/>
              </w:rPr>
              <w:t xml:space="preserve"> -8,433.84 </w:t>
            </w:r>
          </w:p>
        </w:tc>
        <w:tc>
          <w:tcPr>
            <w:tcW w:w="915" w:type="dxa"/>
          </w:tcPr>
          <w:p w14:paraId="75E97065">
            <w:pPr>
              <w:jc w:val="center"/>
              <w:rPr>
                <w:rFonts w:cstheme="minorHAnsi"/>
                <w:sz w:val="18"/>
                <w:szCs w:val="18"/>
              </w:rPr>
            </w:pPr>
            <w:r>
              <w:rPr>
                <w:sz w:val="18"/>
                <w:szCs w:val="18"/>
              </w:rPr>
              <w:t xml:space="preserve"> -7,819.23 </w:t>
            </w:r>
          </w:p>
        </w:tc>
        <w:tc>
          <w:tcPr>
            <w:tcW w:w="915" w:type="dxa"/>
          </w:tcPr>
          <w:p w14:paraId="1789B78C">
            <w:pPr>
              <w:jc w:val="center"/>
              <w:rPr>
                <w:rFonts w:cstheme="minorHAnsi"/>
                <w:sz w:val="18"/>
                <w:szCs w:val="18"/>
              </w:rPr>
            </w:pPr>
            <w:r>
              <w:rPr>
                <w:sz w:val="18"/>
                <w:szCs w:val="18"/>
              </w:rPr>
              <w:t xml:space="preserve"> -7,203.76 </w:t>
            </w:r>
          </w:p>
        </w:tc>
        <w:tc>
          <w:tcPr>
            <w:tcW w:w="915" w:type="dxa"/>
          </w:tcPr>
          <w:p w14:paraId="19533C38">
            <w:pPr>
              <w:jc w:val="center"/>
              <w:rPr>
                <w:rFonts w:cstheme="minorHAnsi"/>
                <w:sz w:val="18"/>
                <w:szCs w:val="18"/>
              </w:rPr>
            </w:pPr>
            <w:r>
              <w:rPr>
                <w:sz w:val="18"/>
                <w:szCs w:val="18"/>
              </w:rPr>
              <w:t xml:space="preserve"> -6,621.83 </w:t>
            </w:r>
          </w:p>
        </w:tc>
        <w:tc>
          <w:tcPr>
            <w:tcW w:w="915" w:type="dxa"/>
          </w:tcPr>
          <w:p w14:paraId="2939F953">
            <w:pPr>
              <w:jc w:val="center"/>
              <w:rPr>
                <w:rFonts w:cstheme="minorHAnsi"/>
                <w:sz w:val="18"/>
                <w:szCs w:val="18"/>
              </w:rPr>
            </w:pPr>
            <w:r>
              <w:rPr>
                <w:sz w:val="18"/>
                <w:szCs w:val="18"/>
              </w:rPr>
              <w:t xml:space="preserve"> -6,038.04 </w:t>
            </w:r>
          </w:p>
        </w:tc>
        <w:tc>
          <w:tcPr>
            <w:tcW w:w="915" w:type="dxa"/>
          </w:tcPr>
          <w:p w14:paraId="301EBBD8">
            <w:pPr>
              <w:jc w:val="center"/>
              <w:rPr>
                <w:rFonts w:cstheme="minorHAnsi"/>
                <w:sz w:val="18"/>
                <w:szCs w:val="18"/>
              </w:rPr>
            </w:pPr>
            <w:r>
              <w:rPr>
                <w:sz w:val="18"/>
                <w:szCs w:val="18"/>
              </w:rPr>
              <w:t xml:space="preserve"> -5,453.91 </w:t>
            </w:r>
          </w:p>
        </w:tc>
        <w:tc>
          <w:tcPr>
            <w:tcW w:w="915" w:type="dxa"/>
          </w:tcPr>
          <w:p w14:paraId="26192D61">
            <w:pPr>
              <w:jc w:val="center"/>
              <w:rPr>
                <w:rFonts w:cstheme="minorHAnsi"/>
                <w:sz w:val="18"/>
                <w:szCs w:val="18"/>
              </w:rPr>
            </w:pPr>
            <w:r>
              <w:rPr>
                <w:sz w:val="18"/>
                <w:szCs w:val="18"/>
              </w:rPr>
              <w:t xml:space="preserve"> -4,874.14 </w:t>
            </w:r>
          </w:p>
        </w:tc>
        <w:tc>
          <w:tcPr>
            <w:tcW w:w="915" w:type="dxa"/>
          </w:tcPr>
          <w:p w14:paraId="2EEEA8E6">
            <w:pPr>
              <w:jc w:val="center"/>
              <w:rPr>
                <w:rFonts w:cstheme="minorHAnsi"/>
                <w:sz w:val="18"/>
                <w:szCs w:val="18"/>
              </w:rPr>
            </w:pPr>
            <w:r>
              <w:rPr>
                <w:sz w:val="18"/>
                <w:szCs w:val="18"/>
              </w:rPr>
              <w:t xml:space="preserve"> -4,294.38 </w:t>
            </w:r>
          </w:p>
        </w:tc>
        <w:tc>
          <w:tcPr>
            <w:tcW w:w="915" w:type="dxa"/>
          </w:tcPr>
          <w:p w14:paraId="14D23E0C">
            <w:pPr>
              <w:jc w:val="center"/>
              <w:rPr>
                <w:rFonts w:cstheme="minorHAnsi"/>
                <w:sz w:val="18"/>
                <w:szCs w:val="18"/>
              </w:rPr>
            </w:pPr>
            <w:r>
              <w:rPr>
                <w:sz w:val="18"/>
                <w:szCs w:val="18"/>
              </w:rPr>
              <w:t xml:space="preserve"> -3,714.62 </w:t>
            </w:r>
          </w:p>
        </w:tc>
        <w:tc>
          <w:tcPr>
            <w:tcW w:w="915" w:type="dxa"/>
          </w:tcPr>
          <w:p w14:paraId="60A31891">
            <w:pPr>
              <w:jc w:val="center"/>
              <w:rPr>
                <w:rFonts w:cstheme="minorHAnsi"/>
                <w:sz w:val="18"/>
                <w:szCs w:val="18"/>
              </w:rPr>
            </w:pPr>
            <w:r>
              <w:rPr>
                <w:sz w:val="18"/>
                <w:szCs w:val="18"/>
              </w:rPr>
              <w:t xml:space="preserve"> -3,134.85 </w:t>
            </w:r>
          </w:p>
        </w:tc>
        <w:tc>
          <w:tcPr>
            <w:tcW w:w="915" w:type="dxa"/>
          </w:tcPr>
          <w:p w14:paraId="6BF25415">
            <w:pPr>
              <w:jc w:val="center"/>
              <w:rPr>
                <w:rFonts w:cstheme="minorHAnsi"/>
                <w:sz w:val="18"/>
                <w:szCs w:val="18"/>
              </w:rPr>
            </w:pPr>
            <w:r>
              <w:rPr>
                <w:sz w:val="18"/>
                <w:szCs w:val="18"/>
              </w:rPr>
              <w:t xml:space="preserve"> -2,555.09 </w:t>
            </w:r>
          </w:p>
        </w:tc>
        <w:tc>
          <w:tcPr>
            <w:tcW w:w="915" w:type="dxa"/>
          </w:tcPr>
          <w:p w14:paraId="4A908890">
            <w:pPr>
              <w:jc w:val="center"/>
              <w:rPr>
                <w:rFonts w:cstheme="minorHAnsi"/>
                <w:sz w:val="18"/>
                <w:szCs w:val="18"/>
              </w:rPr>
            </w:pPr>
            <w:r>
              <w:rPr>
                <w:sz w:val="18"/>
                <w:szCs w:val="18"/>
              </w:rPr>
              <w:t xml:space="preserve"> -1,975.32 </w:t>
            </w:r>
          </w:p>
        </w:tc>
      </w:tr>
    </w:tbl>
    <w:p w14:paraId="2C4A9F7F">
      <w:pPr>
        <w:pStyle w:val="2"/>
      </w:pPr>
    </w:p>
    <w:p w14:paraId="3068F985">
      <w:pPr>
        <w:pStyle w:val="2"/>
      </w:pPr>
      <w:r>
        <w:rPr>
          <w:rFonts w:hint="eastAsia"/>
        </w:rPr>
        <w:t>续上表</w:t>
      </w:r>
    </w:p>
    <w:tbl>
      <w:tblPr>
        <w:tblStyle w:val="19"/>
        <w:tblW w:w="15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038"/>
        <w:gridCol w:w="973"/>
        <w:gridCol w:w="858"/>
        <w:gridCol w:w="858"/>
        <w:gridCol w:w="914"/>
        <w:gridCol w:w="914"/>
        <w:gridCol w:w="914"/>
        <w:gridCol w:w="914"/>
        <w:gridCol w:w="914"/>
        <w:gridCol w:w="914"/>
        <w:gridCol w:w="914"/>
        <w:gridCol w:w="914"/>
        <w:gridCol w:w="914"/>
        <w:gridCol w:w="914"/>
        <w:gridCol w:w="914"/>
        <w:gridCol w:w="914"/>
      </w:tblGrid>
      <w:tr w14:paraId="3CAE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75" w:type="dxa"/>
            <w:vAlign w:val="center"/>
          </w:tcPr>
          <w:p w14:paraId="47596738">
            <w:pPr>
              <w:rPr>
                <w:rFonts w:cstheme="minorHAnsi"/>
                <w:sz w:val="18"/>
                <w:szCs w:val="18"/>
              </w:rPr>
            </w:pPr>
            <w:r>
              <w:rPr>
                <w:rFonts w:cstheme="minorHAnsi"/>
                <w:sz w:val="18"/>
                <w:szCs w:val="18"/>
              </w:rPr>
              <w:t xml:space="preserve">序号 </w:t>
            </w:r>
          </w:p>
        </w:tc>
        <w:tc>
          <w:tcPr>
            <w:tcW w:w="1038" w:type="dxa"/>
            <w:vAlign w:val="center"/>
          </w:tcPr>
          <w:p w14:paraId="4BD9B638">
            <w:pPr>
              <w:rPr>
                <w:rFonts w:cstheme="minorHAnsi"/>
                <w:sz w:val="18"/>
                <w:szCs w:val="18"/>
              </w:rPr>
            </w:pPr>
            <w:r>
              <w:rPr>
                <w:rFonts w:cstheme="minorHAnsi"/>
                <w:sz w:val="18"/>
                <w:szCs w:val="18"/>
              </w:rPr>
              <w:t>运营年</w:t>
            </w:r>
          </w:p>
        </w:tc>
        <w:tc>
          <w:tcPr>
            <w:tcW w:w="973" w:type="dxa"/>
            <w:vAlign w:val="center"/>
          </w:tcPr>
          <w:p w14:paraId="7A306B3D">
            <w:pPr>
              <w:jc w:val="center"/>
              <w:rPr>
                <w:rFonts w:cstheme="minorHAnsi"/>
                <w:sz w:val="18"/>
                <w:szCs w:val="18"/>
              </w:rPr>
            </w:pPr>
            <w:r>
              <w:rPr>
                <w:sz w:val="18"/>
                <w:szCs w:val="18"/>
              </w:rPr>
              <w:t>16</w:t>
            </w:r>
          </w:p>
        </w:tc>
        <w:tc>
          <w:tcPr>
            <w:tcW w:w="858" w:type="dxa"/>
            <w:vAlign w:val="center"/>
          </w:tcPr>
          <w:p w14:paraId="2E8F0EC1">
            <w:pPr>
              <w:jc w:val="center"/>
              <w:rPr>
                <w:rFonts w:cstheme="minorHAnsi"/>
                <w:sz w:val="18"/>
                <w:szCs w:val="18"/>
              </w:rPr>
            </w:pPr>
            <w:r>
              <w:rPr>
                <w:sz w:val="18"/>
                <w:szCs w:val="18"/>
              </w:rPr>
              <w:t>17</w:t>
            </w:r>
          </w:p>
        </w:tc>
        <w:tc>
          <w:tcPr>
            <w:tcW w:w="858" w:type="dxa"/>
            <w:vAlign w:val="center"/>
          </w:tcPr>
          <w:p w14:paraId="4135C4E0">
            <w:pPr>
              <w:jc w:val="center"/>
              <w:rPr>
                <w:rFonts w:cstheme="minorHAnsi"/>
                <w:sz w:val="18"/>
                <w:szCs w:val="18"/>
              </w:rPr>
            </w:pPr>
            <w:r>
              <w:rPr>
                <w:sz w:val="18"/>
                <w:szCs w:val="18"/>
              </w:rPr>
              <w:t>18</w:t>
            </w:r>
          </w:p>
        </w:tc>
        <w:tc>
          <w:tcPr>
            <w:tcW w:w="914" w:type="dxa"/>
            <w:vAlign w:val="center"/>
          </w:tcPr>
          <w:p w14:paraId="46CE9925">
            <w:pPr>
              <w:jc w:val="center"/>
              <w:rPr>
                <w:rFonts w:cstheme="minorHAnsi"/>
                <w:sz w:val="18"/>
                <w:szCs w:val="18"/>
              </w:rPr>
            </w:pPr>
            <w:r>
              <w:rPr>
                <w:sz w:val="18"/>
                <w:szCs w:val="18"/>
              </w:rPr>
              <w:t>19</w:t>
            </w:r>
          </w:p>
        </w:tc>
        <w:tc>
          <w:tcPr>
            <w:tcW w:w="914" w:type="dxa"/>
            <w:vAlign w:val="center"/>
          </w:tcPr>
          <w:p w14:paraId="7ED5FD20">
            <w:pPr>
              <w:jc w:val="center"/>
              <w:rPr>
                <w:rFonts w:cstheme="minorHAnsi"/>
                <w:sz w:val="18"/>
                <w:szCs w:val="18"/>
              </w:rPr>
            </w:pPr>
            <w:r>
              <w:rPr>
                <w:sz w:val="18"/>
                <w:szCs w:val="18"/>
              </w:rPr>
              <w:t>20</w:t>
            </w:r>
          </w:p>
        </w:tc>
        <w:tc>
          <w:tcPr>
            <w:tcW w:w="914" w:type="dxa"/>
            <w:vAlign w:val="center"/>
          </w:tcPr>
          <w:p w14:paraId="725CA8E9">
            <w:pPr>
              <w:jc w:val="center"/>
              <w:rPr>
                <w:rFonts w:cstheme="minorHAnsi"/>
                <w:sz w:val="18"/>
                <w:szCs w:val="18"/>
              </w:rPr>
            </w:pPr>
            <w:r>
              <w:rPr>
                <w:sz w:val="18"/>
                <w:szCs w:val="18"/>
              </w:rPr>
              <w:t>21</w:t>
            </w:r>
          </w:p>
        </w:tc>
        <w:tc>
          <w:tcPr>
            <w:tcW w:w="914" w:type="dxa"/>
            <w:vAlign w:val="center"/>
          </w:tcPr>
          <w:p w14:paraId="67C8EF40">
            <w:pPr>
              <w:jc w:val="center"/>
              <w:rPr>
                <w:rFonts w:cstheme="minorHAnsi"/>
                <w:sz w:val="18"/>
                <w:szCs w:val="18"/>
              </w:rPr>
            </w:pPr>
            <w:r>
              <w:rPr>
                <w:sz w:val="18"/>
                <w:szCs w:val="18"/>
              </w:rPr>
              <w:t>22</w:t>
            </w:r>
          </w:p>
        </w:tc>
        <w:tc>
          <w:tcPr>
            <w:tcW w:w="914" w:type="dxa"/>
            <w:vAlign w:val="center"/>
          </w:tcPr>
          <w:p w14:paraId="228F46CA">
            <w:pPr>
              <w:jc w:val="center"/>
              <w:rPr>
                <w:rFonts w:cstheme="minorHAnsi"/>
                <w:sz w:val="18"/>
                <w:szCs w:val="18"/>
              </w:rPr>
            </w:pPr>
            <w:r>
              <w:rPr>
                <w:sz w:val="18"/>
                <w:szCs w:val="18"/>
              </w:rPr>
              <w:t>23</w:t>
            </w:r>
          </w:p>
        </w:tc>
        <w:tc>
          <w:tcPr>
            <w:tcW w:w="914" w:type="dxa"/>
            <w:vAlign w:val="center"/>
          </w:tcPr>
          <w:p w14:paraId="6D9B735E">
            <w:pPr>
              <w:jc w:val="center"/>
              <w:rPr>
                <w:rFonts w:cstheme="minorHAnsi"/>
                <w:sz w:val="18"/>
                <w:szCs w:val="18"/>
              </w:rPr>
            </w:pPr>
            <w:r>
              <w:rPr>
                <w:sz w:val="18"/>
                <w:szCs w:val="18"/>
              </w:rPr>
              <w:t>24</w:t>
            </w:r>
          </w:p>
        </w:tc>
        <w:tc>
          <w:tcPr>
            <w:tcW w:w="914" w:type="dxa"/>
            <w:vAlign w:val="center"/>
          </w:tcPr>
          <w:p w14:paraId="7FA5E1FE">
            <w:pPr>
              <w:jc w:val="center"/>
              <w:rPr>
                <w:rFonts w:cstheme="minorHAnsi"/>
                <w:sz w:val="18"/>
                <w:szCs w:val="18"/>
              </w:rPr>
            </w:pPr>
            <w:r>
              <w:rPr>
                <w:sz w:val="18"/>
                <w:szCs w:val="18"/>
              </w:rPr>
              <w:t>25</w:t>
            </w:r>
          </w:p>
        </w:tc>
        <w:tc>
          <w:tcPr>
            <w:tcW w:w="914" w:type="dxa"/>
            <w:vAlign w:val="center"/>
          </w:tcPr>
          <w:p w14:paraId="19DBCF6D">
            <w:pPr>
              <w:jc w:val="center"/>
              <w:rPr>
                <w:rFonts w:cstheme="minorHAnsi"/>
                <w:sz w:val="18"/>
                <w:szCs w:val="18"/>
              </w:rPr>
            </w:pPr>
            <w:r>
              <w:rPr>
                <w:sz w:val="18"/>
                <w:szCs w:val="18"/>
              </w:rPr>
              <w:t>26</w:t>
            </w:r>
          </w:p>
        </w:tc>
        <w:tc>
          <w:tcPr>
            <w:tcW w:w="914" w:type="dxa"/>
            <w:vAlign w:val="center"/>
          </w:tcPr>
          <w:p w14:paraId="20B14FB5">
            <w:pPr>
              <w:jc w:val="center"/>
              <w:rPr>
                <w:rFonts w:cstheme="minorHAnsi"/>
                <w:sz w:val="18"/>
                <w:szCs w:val="18"/>
              </w:rPr>
            </w:pPr>
            <w:r>
              <w:rPr>
                <w:sz w:val="18"/>
                <w:szCs w:val="18"/>
              </w:rPr>
              <w:t>27</w:t>
            </w:r>
          </w:p>
        </w:tc>
        <w:tc>
          <w:tcPr>
            <w:tcW w:w="914" w:type="dxa"/>
            <w:vAlign w:val="center"/>
          </w:tcPr>
          <w:p w14:paraId="4D4B94B1">
            <w:pPr>
              <w:jc w:val="center"/>
              <w:rPr>
                <w:rFonts w:cstheme="minorHAnsi"/>
                <w:sz w:val="18"/>
                <w:szCs w:val="18"/>
              </w:rPr>
            </w:pPr>
            <w:r>
              <w:rPr>
                <w:sz w:val="18"/>
                <w:szCs w:val="18"/>
              </w:rPr>
              <w:t>28</w:t>
            </w:r>
          </w:p>
        </w:tc>
        <w:tc>
          <w:tcPr>
            <w:tcW w:w="914" w:type="dxa"/>
            <w:vAlign w:val="center"/>
          </w:tcPr>
          <w:p w14:paraId="67941E25">
            <w:pPr>
              <w:jc w:val="center"/>
              <w:rPr>
                <w:rFonts w:cstheme="minorHAnsi"/>
                <w:sz w:val="18"/>
                <w:szCs w:val="18"/>
              </w:rPr>
            </w:pPr>
            <w:r>
              <w:rPr>
                <w:sz w:val="18"/>
                <w:szCs w:val="18"/>
              </w:rPr>
              <w:t>29</w:t>
            </w:r>
          </w:p>
        </w:tc>
        <w:tc>
          <w:tcPr>
            <w:tcW w:w="914" w:type="dxa"/>
            <w:vAlign w:val="center"/>
          </w:tcPr>
          <w:p w14:paraId="38555519">
            <w:pPr>
              <w:jc w:val="center"/>
              <w:rPr>
                <w:rFonts w:cstheme="minorHAnsi"/>
                <w:sz w:val="18"/>
                <w:szCs w:val="18"/>
              </w:rPr>
            </w:pPr>
            <w:r>
              <w:rPr>
                <w:sz w:val="18"/>
                <w:szCs w:val="18"/>
              </w:rPr>
              <w:t>30</w:t>
            </w:r>
          </w:p>
        </w:tc>
      </w:tr>
      <w:tr w14:paraId="1A6C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75" w:type="dxa"/>
            <w:vAlign w:val="center"/>
          </w:tcPr>
          <w:p w14:paraId="0A210016">
            <w:pPr>
              <w:rPr>
                <w:rFonts w:cstheme="minorHAnsi"/>
                <w:sz w:val="18"/>
                <w:szCs w:val="18"/>
              </w:rPr>
            </w:pPr>
            <w:r>
              <w:rPr>
                <w:rFonts w:cstheme="minorHAnsi"/>
                <w:sz w:val="18"/>
                <w:szCs w:val="18"/>
              </w:rPr>
              <w:t>1</w:t>
            </w:r>
          </w:p>
        </w:tc>
        <w:tc>
          <w:tcPr>
            <w:tcW w:w="1038" w:type="dxa"/>
            <w:vAlign w:val="center"/>
          </w:tcPr>
          <w:p w14:paraId="2F0CFE92">
            <w:pPr>
              <w:rPr>
                <w:rFonts w:cstheme="minorHAnsi"/>
                <w:sz w:val="18"/>
                <w:szCs w:val="18"/>
              </w:rPr>
            </w:pPr>
            <w:r>
              <w:rPr>
                <w:rFonts w:cstheme="minorHAnsi"/>
                <w:sz w:val="18"/>
                <w:szCs w:val="18"/>
              </w:rPr>
              <w:t>现金流入</w:t>
            </w:r>
          </w:p>
        </w:tc>
        <w:tc>
          <w:tcPr>
            <w:tcW w:w="973" w:type="dxa"/>
            <w:vAlign w:val="center"/>
          </w:tcPr>
          <w:p w14:paraId="208EF1D2">
            <w:pPr>
              <w:rPr>
                <w:rFonts w:cstheme="minorHAnsi"/>
                <w:color w:val="000000" w:themeColor="text1"/>
                <w:sz w:val="18"/>
                <w:szCs w:val="18"/>
                <w14:textFill>
                  <w14:solidFill>
                    <w14:schemeClr w14:val="tx1"/>
                  </w14:solidFill>
                </w14:textFill>
              </w:rPr>
            </w:pPr>
            <w:r>
              <w:rPr>
                <w:sz w:val="18"/>
                <w:szCs w:val="18"/>
              </w:rPr>
              <w:t xml:space="preserve"> 938.92 </w:t>
            </w:r>
          </w:p>
        </w:tc>
        <w:tc>
          <w:tcPr>
            <w:tcW w:w="858" w:type="dxa"/>
            <w:vAlign w:val="center"/>
          </w:tcPr>
          <w:p w14:paraId="26DFC368">
            <w:pPr>
              <w:rPr>
                <w:rFonts w:cstheme="minorHAnsi"/>
                <w:color w:val="000000" w:themeColor="text1"/>
                <w:sz w:val="18"/>
                <w:szCs w:val="18"/>
                <w14:textFill>
                  <w14:solidFill>
                    <w14:schemeClr w14:val="tx1"/>
                  </w14:solidFill>
                </w14:textFill>
              </w:rPr>
            </w:pPr>
            <w:r>
              <w:rPr>
                <w:sz w:val="18"/>
                <w:szCs w:val="18"/>
              </w:rPr>
              <w:t xml:space="preserve"> 938.92 </w:t>
            </w:r>
          </w:p>
        </w:tc>
        <w:tc>
          <w:tcPr>
            <w:tcW w:w="858" w:type="dxa"/>
            <w:vAlign w:val="center"/>
          </w:tcPr>
          <w:p w14:paraId="71583682">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60300F3D">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2EC5744C">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680B58FB">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16617911">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346E3986">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03A193F0">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68B511E3">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057C180C">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04B32B07">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68865487">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0465A699">
            <w:pPr>
              <w:rPr>
                <w:rFonts w:cstheme="minorHAnsi"/>
                <w:color w:val="000000" w:themeColor="text1"/>
                <w:sz w:val="18"/>
                <w:szCs w:val="18"/>
                <w14:textFill>
                  <w14:solidFill>
                    <w14:schemeClr w14:val="tx1"/>
                  </w14:solidFill>
                </w14:textFill>
              </w:rPr>
            </w:pPr>
            <w:r>
              <w:rPr>
                <w:sz w:val="18"/>
                <w:szCs w:val="18"/>
              </w:rPr>
              <w:t xml:space="preserve"> 938.92 </w:t>
            </w:r>
          </w:p>
        </w:tc>
        <w:tc>
          <w:tcPr>
            <w:tcW w:w="914" w:type="dxa"/>
            <w:vAlign w:val="center"/>
          </w:tcPr>
          <w:p w14:paraId="4AB4F01B">
            <w:pPr>
              <w:rPr>
                <w:rFonts w:cstheme="minorHAnsi"/>
                <w:color w:val="000000" w:themeColor="text1"/>
                <w:sz w:val="18"/>
                <w:szCs w:val="18"/>
                <w14:textFill>
                  <w14:solidFill>
                    <w14:schemeClr w14:val="tx1"/>
                  </w14:solidFill>
                </w14:textFill>
              </w:rPr>
            </w:pPr>
            <w:r>
              <w:rPr>
                <w:sz w:val="18"/>
                <w:szCs w:val="18"/>
              </w:rPr>
              <w:t xml:space="preserve"> 938.92 </w:t>
            </w:r>
          </w:p>
        </w:tc>
      </w:tr>
      <w:tr w14:paraId="425F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5" w:type="dxa"/>
            <w:vAlign w:val="center"/>
          </w:tcPr>
          <w:p w14:paraId="416D1D1F">
            <w:pPr>
              <w:rPr>
                <w:rFonts w:cstheme="minorHAnsi"/>
                <w:sz w:val="18"/>
                <w:szCs w:val="18"/>
              </w:rPr>
            </w:pPr>
            <w:r>
              <w:rPr>
                <w:rFonts w:cstheme="minorHAnsi"/>
                <w:sz w:val="18"/>
                <w:szCs w:val="18"/>
              </w:rPr>
              <w:t>1.1</w:t>
            </w:r>
          </w:p>
        </w:tc>
        <w:tc>
          <w:tcPr>
            <w:tcW w:w="1038" w:type="dxa"/>
            <w:vAlign w:val="center"/>
          </w:tcPr>
          <w:p w14:paraId="120301BC">
            <w:pPr>
              <w:rPr>
                <w:rFonts w:cstheme="minorHAnsi"/>
                <w:sz w:val="18"/>
                <w:szCs w:val="18"/>
              </w:rPr>
            </w:pPr>
            <w:r>
              <w:rPr>
                <w:rFonts w:cstheme="minorHAnsi"/>
                <w:sz w:val="18"/>
                <w:szCs w:val="18"/>
              </w:rPr>
              <w:t>营业收入（含税）</w:t>
            </w:r>
          </w:p>
        </w:tc>
        <w:tc>
          <w:tcPr>
            <w:tcW w:w="973" w:type="dxa"/>
            <w:vAlign w:val="center"/>
          </w:tcPr>
          <w:p w14:paraId="18664A1D">
            <w:pPr>
              <w:rPr>
                <w:rFonts w:cstheme="minorHAnsi"/>
                <w:color w:val="000000" w:themeColor="text1"/>
                <w:sz w:val="18"/>
                <w:szCs w:val="18"/>
                <w14:textFill>
                  <w14:solidFill>
                    <w14:schemeClr w14:val="tx1"/>
                  </w14:solidFill>
                </w14:textFill>
              </w:rPr>
            </w:pPr>
            <w:r>
              <w:rPr>
                <w:sz w:val="18"/>
                <w:szCs w:val="18"/>
              </w:rPr>
              <w:t xml:space="preserve"> 919.00 </w:t>
            </w:r>
          </w:p>
        </w:tc>
        <w:tc>
          <w:tcPr>
            <w:tcW w:w="858" w:type="dxa"/>
            <w:vAlign w:val="center"/>
          </w:tcPr>
          <w:p w14:paraId="2735F295">
            <w:pPr>
              <w:rPr>
                <w:rFonts w:cstheme="minorHAnsi"/>
                <w:color w:val="000000" w:themeColor="text1"/>
                <w:sz w:val="18"/>
                <w:szCs w:val="18"/>
                <w14:textFill>
                  <w14:solidFill>
                    <w14:schemeClr w14:val="tx1"/>
                  </w14:solidFill>
                </w14:textFill>
              </w:rPr>
            </w:pPr>
            <w:r>
              <w:rPr>
                <w:sz w:val="18"/>
                <w:szCs w:val="18"/>
              </w:rPr>
              <w:t xml:space="preserve"> 919.00 </w:t>
            </w:r>
          </w:p>
        </w:tc>
        <w:tc>
          <w:tcPr>
            <w:tcW w:w="858" w:type="dxa"/>
            <w:vAlign w:val="center"/>
          </w:tcPr>
          <w:p w14:paraId="5BA812DF">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59E8DF8F">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55D55607">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745225A7">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0E7B7314">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30FA8009">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150EB4D6">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703C27DE">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4ED25D58">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7753CFCF">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6558260B">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01B858EE">
            <w:pPr>
              <w:rPr>
                <w:rFonts w:cstheme="minorHAnsi"/>
                <w:color w:val="000000" w:themeColor="text1"/>
                <w:sz w:val="18"/>
                <w:szCs w:val="18"/>
                <w14:textFill>
                  <w14:solidFill>
                    <w14:schemeClr w14:val="tx1"/>
                  </w14:solidFill>
                </w14:textFill>
              </w:rPr>
            </w:pPr>
            <w:r>
              <w:rPr>
                <w:sz w:val="18"/>
                <w:szCs w:val="18"/>
              </w:rPr>
              <w:t xml:space="preserve"> 919.00 </w:t>
            </w:r>
          </w:p>
        </w:tc>
        <w:tc>
          <w:tcPr>
            <w:tcW w:w="914" w:type="dxa"/>
            <w:vAlign w:val="center"/>
          </w:tcPr>
          <w:p w14:paraId="18384947">
            <w:pPr>
              <w:rPr>
                <w:rFonts w:cstheme="minorHAnsi"/>
                <w:color w:val="000000" w:themeColor="text1"/>
                <w:sz w:val="18"/>
                <w:szCs w:val="18"/>
                <w14:textFill>
                  <w14:solidFill>
                    <w14:schemeClr w14:val="tx1"/>
                  </w14:solidFill>
                </w14:textFill>
              </w:rPr>
            </w:pPr>
            <w:r>
              <w:rPr>
                <w:sz w:val="18"/>
                <w:szCs w:val="18"/>
              </w:rPr>
              <w:t xml:space="preserve"> 919.00 </w:t>
            </w:r>
          </w:p>
        </w:tc>
      </w:tr>
      <w:tr w14:paraId="0F14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5" w:type="dxa"/>
            <w:vAlign w:val="center"/>
          </w:tcPr>
          <w:p w14:paraId="731665CA">
            <w:pPr>
              <w:rPr>
                <w:rFonts w:cstheme="minorHAnsi"/>
                <w:sz w:val="18"/>
                <w:szCs w:val="18"/>
              </w:rPr>
            </w:pPr>
            <w:r>
              <w:rPr>
                <w:rFonts w:cstheme="minorHAnsi"/>
                <w:sz w:val="18"/>
                <w:szCs w:val="18"/>
              </w:rPr>
              <w:t>1.2</w:t>
            </w:r>
          </w:p>
        </w:tc>
        <w:tc>
          <w:tcPr>
            <w:tcW w:w="1038" w:type="dxa"/>
            <w:vAlign w:val="center"/>
          </w:tcPr>
          <w:p w14:paraId="3D4BEF51">
            <w:pPr>
              <w:rPr>
                <w:rFonts w:cstheme="minorHAnsi"/>
                <w:sz w:val="18"/>
                <w:szCs w:val="18"/>
              </w:rPr>
            </w:pPr>
            <w:r>
              <w:rPr>
                <w:rFonts w:cstheme="minorHAnsi"/>
                <w:sz w:val="18"/>
                <w:szCs w:val="18"/>
              </w:rPr>
              <w:t>退税收入</w:t>
            </w:r>
          </w:p>
        </w:tc>
        <w:tc>
          <w:tcPr>
            <w:tcW w:w="973" w:type="dxa"/>
            <w:vAlign w:val="center"/>
          </w:tcPr>
          <w:p w14:paraId="2528D6DC">
            <w:pPr>
              <w:rPr>
                <w:rFonts w:cstheme="minorHAnsi"/>
                <w:color w:val="000000" w:themeColor="text1"/>
                <w:sz w:val="18"/>
                <w:szCs w:val="18"/>
                <w14:textFill>
                  <w14:solidFill>
                    <w14:schemeClr w14:val="tx1"/>
                  </w14:solidFill>
                </w14:textFill>
              </w:rPr>
            </w:pPr>
            <w:r>
              <w:rPr>
                <w:sz w:val="18"/>
                <w:szCs w:val="18"/>
              </w:rPr>
              <w:t xml:space="preserve"> 19.92 </w:t>
            </w:r>
          </w:p>
        </w:tc>
        <w:tc>
          <w:tcPr>
            <w:tcW w:w="858" w:type="dxa"/>
            <w:vAlign w:val="center"/>
          </w:tcPr>
          <w:p w14:paraId="2AC786FF">
            <w:pPr>
              <w:rPr>
                <w:rFonts w:cstheme="minorHAnsi"/>
                <w:color w:val="000000" w:themeColor="text1"/>
                <w:sz w:val="18"/>
                <w:szCs w:val="18"/>
                <w14:textFill>
                  <w14:solidFill>
                    <w14:schemeClr w14:val="tx1"/>
                  </w14:solidFill>
                </w14:textFill>
              </w:rPr>
            </w:pPr>
            <w:r>
              <w:rPr>
                <w:sz w:val="18"/>
                <w:szCs w:val="18"/>
              </w:rPr>
              <w:t xml:space="preserve"> 19.92 </w:t>
            </w:r>
          </w:p>
        </w:tc>
        <w:tc>
          <w:tcPr>
            <w:tcW w:w="858" w:type="dxa"/>
            <w:vAlign w:val="center"/>
          </w:tcPr>
          <w:p w14:paraId="4392ACA5">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6CF5FEC5">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343BBAB0">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7275B3CC">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287F8C5A">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40381A42">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43542D58">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0F5C5ADE">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6516BE94">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349A1BFE">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1730AC27">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41491595">
            <w:pPr>
              <w:rPr>
                <w:rFonts w:cstheme="minorHAnsi"/>
                <w:color w:val="000000" w:themeColor="text1"/>
                <w:sz w:val="18"/>
                <w:szCs w:val="18"/>
                <w14:textFill>
                  <w14:solidFill>
                    <w14:schemeClr w14:val="tx1"/>
                  </w14:solidFill>
                </w14:textFill>
              </w:rPr>
            </w:pPr>
            <w:r>
              <w:rPr>
                <w:sz w:val="18"/>
                <w:szCs w:val="18"/>
              </w:rPr>
              <w:t xml:space="preserve"> 19.92 </w:t>
            </w:r>
          </w:p>
        </w:tc>
        <w:tc>
          <w:tcPr>
            <w:tcW w:w="914" w:type="dxa"/>
            <w:vAlign w:val="center"/>
          </w:tcPr>
          <w:p w14:paraId="2BCDBE8F">
            <w:pPr>
              <w:rPr>
                <w:rFonts w:cstheme="minorHAnsi"/>
                <w:color w:val="000000" w:themeColor="text1"/>
                <w:sz w:val="18"/>
                <w:szCs w:val="18"/>
                <w14:textFill>
                  <w14:solidFill>
                    <w14:schemeClr w14:val="tx1"/>
                  </w14:solidFill>
                </w14:textFill>
              </w:rPr>
            </w:pPr>
            <w:r>
              <w:rPr>
                <w:sz w:val="18"/>
                <w:szCs w:val="18"/>
              </w:rPr>
              <w:t xml:space="preserve"> 19.92 </w:t>
            </w:r>
          </w:p>
        </w:tc>
      </w:tr>
      <w:tr w14:paraId="3DFE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75" w:type="dxa"/>
            <w:vAlign w:val="center"/>
          </w:tcPr>
          <w:p w14:paraId="19048F8A">
            <w:pPr>
              <w:rPr>
                <w:rFonts w:cstheme="minorHAnsi"/>
                <w:sz w:val="18"/>
                <w:szCs w:val="18"/>
              </w:rPr>
            </w:pPr>
            <w:r>
              <w:rPr>
                <w:rFonts w:cstheme="minorHAnsi"/>
                <w:sz w:val="18"/>
                <w:szCs w:val="18"/>
              </w:rPr>
              <w:t>1.3</w:t>
            </w:r>
          </w:p>
        </w:tc>
        <w:tc>
          <w:tcPr>
            <w:tcW w:w="1038" w:type="dxa"/>
            <w:vAlign w:val="center"/>
          </w:tcPr>
          <w:p w14:paraId="5F036A09">
            <w:pPr>
              <w:rPr>
                <w:rFonts w:cstheme="minorHAnsi"/>
                <w:sz w:val="18"/>
                <w:szCs w:val="18"/>
              </w:rPr>
            </w:pPr>
            <w:r>
              <w:rPr>
                <w:rFonts w:cstheme="minorHAnsi"/>
                <w:sz w:val="18"/>
                <w:szCs w:val="18"/>
              </w:rPr>
              <w:t>回收固定资产余值</w:t>
            </w:r>
          </w:p>
        </w:tc>
        <w:tc>
          <w:tcPr>
            <w:tcW w:w="973" w:type="dxa"/>
            <w:vAlign w:val="center"/>
          </w:tcPr>
          <w:p w14:paraId="2107D15C">
            <w:pPr>
              <w:rPr>
                <w:rFonts w:cstheme="minorHAnsi"/>
                <w:color w:val="000000" w:themeColor="text1"/>
                <w:sz w:val="18"/>
                <w:szCs w:val="18"/>
                <w14:textFill>
                  <w14:solidFill>
                    <w14:schemeClr w14:val="tx1"/>
                  </w14:solidFill>
                </w14:textFill>
              </w:rPr>
            </w:pPr>
          </w:p>
        </w:tc>
        <w:tc>
          <w:tcPr>
            <w:tcW w:w="858" w:type="dxa"/>
            <w:vAlign w:val="center"/>
          </w:tcPr>
          <w:p w14:paraId="43F77417">
            <w:pPr>
              <w:rPr>
                <w:rFonts w:cstheme="minorHAnsi"/>
                <w:color w:val="000000" w:themeColor="text1"/>
                <w:sz w:val="18"/>
                <w:szCs w:val="18"/>
                <w14:textFill>
                  <w14:solidFill>
                    <w14:schemeClr w14:val="tx1"/>
                  </w14:solidFill>
                </w14:textFill>
              </w:rPr>
            </w:pPr>
          </w:p>
        </w:tc>
        <w:tc>
          <w:tcPr>
            <w:tcW w:w="858" w:type="dxa"/>
            <w:vAlign w:val="center"/>
          </w:tcPr>
          <w:p w14:paraId="072D5CA4">
            <w:pPr>
              <w:rPr>
                <w:rFonts w:cstheme="minorHAnsi"/>
                <w:color w:val="000000" w:themeColor="text1"/>
                <w:sz w:val="18"/>
                <w:szCs w:val="18"/>
                <w14:textFill>
                  <w14:solidFill>
                    <w14:schemeClr w14:val="tx1"/>
                  </w14:solidFill>
                </w14:textFill>
              </w:rPr>
            </w:pPr>
          </w:p>
        </w:tc>
        <w:tc>
          <w:tcPr>
            <w:tcW w:w="914" w:type="dxa"/>
            <w:vAlign w:val="center"/>
          </w:tcPr>
          <w:p w14:paraId="7247C196">
            <w:pPr>
              <w:rPr>
                <w:rFonts w:cstheme="minorHAnsi"/>
                <w:color w:val="000000" w:themeColor="text1"/>
                <w:sz w:val="18"/>
                <w:szCs w:val="18"/>
                <w14:textFill>
                  <w14:solidFill>
                    <w14:schemeClr w14:val="tx1"/>
                  </w14:solidFill>
                </w14:textFill>
              </w:rPr>
            </w:pPr>
          </w:p>
        </w:tc>
        <w:tc>
          <w:tcPr>
            <w:tcW w:w="914" w:type="dxa"/>
            <w:vAlign w:val="center"/>
          </w:tcPr>
          <w:p w14:paraId="45DA98AB">
            <w:pPr>
              <w:rPr>
                <w:rFonts w:cstheme="minorHAnsi"/>
                <w:color w:val="000000" w:themeColor="text1"/>
                <w:sz w:val="18"/>
                <w:szCs w:val="18"/>
                <w14:textFill>
                  <w14:solidFill>
                    <w14:schemeClr w14:val="tx1"/>
                  </w14:solidFill>
                </w14:textFill>
              </w:rPr>
            </w:pPr>
          </w:p>
        </w:tc>
        <w:tc>
          <w:tcPr>
            <w:tcW w:w="914" w:type="dxa"/>
            <w:vAlign w:val="center"/>
          </w:tcPr>
          <w:p w14:paraId="6E1FB7A7">
            <w:pPr>
              <w:rPr>
                <w:rFonts w:cstheme="minorHAnsi"/>
                <w:color w:val="000000" w:themeColor="text1"/>
                <w:sz w:val="18"/>
                <w:szCs w:val="18"/>
                <w14:textFill>
                  <w14:solidFill>
                    <w14:schemeClr w14:val="tx1"/>
                  </w14:solidFill>
                </w14:textFill>
              </w:rPr>
            </w:pPr>
          </w:p>
        </w:tc>
        <w:tc>
          <w:tcPr>
            <w:tcW w:w="914" w:type="dxa"/>
            <w:vAlign w:val="center"/>
          </w:tcPr>
          <w:p w14:paraId="51D57236">
            <w:pPr>
              <w:rPr>
                <w:rFonts w:cstheme="minorHAnsi"/>
                <w:color w:val="000000" w:themeColor="text1"/>
                <w:sz w:val="18"/>
                <w:szCs w:val="18"/>
                <w14:textFill>
                  <w14:solidFill>
                    <w14:schemeClr w14:val="tx1"/>
                  </w14:solidFill>
                </w14:textFill>
              </w:rPr>
            </w:pPr>
          </w:p>
        </w:tc>
        <w:tc>
          <w:tcPr>
            <w:tcW w:w="914" w:type="dxa"/>
            <w:vAlign w:val="center"/>
          </w:tcPr>
          <w:p w14:paraId="048B54DE">
            <w:pPr>
              <w:rPr>
                <w:rFonts w:cstheme="minorHAnsi"/>
                <w:color w:val="000000" w:themeColor="text1"/>
                <w:sz w:val="18"/>
                <w:szCs w:val="18"/>
                <w14:textFill>
                  <w14:solidFill>
                    <w14:schemeClr w14:val="tx1"/>
                  </w14:solidFill>
                </w14:textFill>
              </w:rPr>
            </w:pPr>
          </w:p>
        </w:tc>
        <w:tc>
          <w:tcPr>
            <w:tcW w:w="914" w:type="dxa"/>
            <w:vAlign w:val="center"/>
          </w:tcPr>
          <w:p w14:paraId="7043748E">
            <w:pPr>
              <w:rPr>
                <w:rFonts w:cstheme="minorHAnsi"/>
                <w:color w:val="000000" w:themeColor="text1"/>
                <w:sz w:val="18"/>
                <w:szCs w:val="18"/>
                <w14:textFill>
                  <w14:solidFill>
                    <w14:schemeClr w14:val="tx1"/>
                  </w14:solidFill>
                </w14:textFill>
              </w:rPr>
            </w:pPr>
          </w:p>
        </w:tc>
        <w:tc>
          <w:tcPr>
            <w:tcW w:w="914" w:type="dxa"/>
            <w:vAlign w:val="center"/>
          </w:tcPr>
          <w:p w14:paraId="66DB565B">
            <w:pPr>
              <w:rPr>
                <w:rFonts w:cstheme="minorHAnsi"/>
                <w:color w:val="000000" w:themeColor="text1"/>
                <w:sz w:val="18"/>
                <w:szCs w:val="18"/>
                <w14:textFill>
                  <w14:solidFill>
                    <w14:schemeClr w14:val="tx1"/>
                  </w14:solidFill>
                </w14:textFill>
              </w:rPr>
            </w:pPr>
          </w:p>
        </w:tc>
        <w:tc>
          <w:tcPr>
            <w:tcW w:w="914" w:type="dxa"/>
            <w:vAlign w:val="center"/>
          </w:tcPr>
          <w:p w14:paraId="078CDB1F">
            <w:pPr>
              <w:rPr>
                <w:rFonts w:cstheme="minorHAnsi"/>
                <w:color w:val="000000" w:themeColor="text1"/>
                <w:sz w:val="18"/>
                <w:szCs w:val="18"/>
                <w14:textFill>
                  <w14:solidFill>
                    <w14:schemeClr w14:val="tx1"/>
                  </w14:solidFill>
                </w14:textFill>
              </w:rPr>
            </w:pPr>
          </w:p>
        </w:tc>
        <w:tc>
          <w:tcPr>
            <w:tcW w:w="914" w:type="dxa"/>
            <w:vAlign w:val="center"/>
          </w:tcPr>
          <w:p w14:paraId="41BEE39E">
            <w:pPr>
              <w:rPr>
                <w:rFonts w:cstheme="minorHAnsi"/>
                <w:color w:val="000000" w:themeColor="text1"/>
                <w:sz w:val="18"/>
                <w:szCs w:val="18"/>
                <w14:textFill>
                  <w14:solidFill>
                    <w14:schemeClr w14:val="tx1"/>
                  </w14:solidFill>
                </w14:textFill>
              </w:rPr>
            </w:pPr>
          </w:p>
        </w:tc>
        <w:tc>
          <w:tcPr>
            <w:tcW w:w="914" w:type="dxa"/>
            <w:vAlign w:val="center"/>
          </w:tcPr>
          <w:p w14:paraId="532EF672">
            <w:pPr>
              <w:rPr>
                <w:rFonts w:cstheme="minorHAnsi"/>
                <w:color w:val="000000" w:themeColor="text1"/>
                <w:sz w:val="18"/>
                <w:szCs w:val="18"/>
                <w14:textFill>
                  <w14:solidFill>
                    <w14:schemeClr w14:val="tx1"/>
                  </w14:solidFill>
                </w14:textFill>
              </w:rPr>
            </w:pPr>
          </w:p>
        </w:tc>
        <w:tc>
          <w:tcPr>
            <w:tcW w:w="914" w:type="dxa"/>
            <w:vAlign w:val="center"/>
          </w:tcPr>
          <w:p w14:paraId="4BB14948">
            <w:pPr>
              <w:rPr>
                <w:rFonts w:cstheme="minorHAnsi"/>
                <w:color w:val="000000" w:themeColor="text1"/>
                <w:sz w:val="18"/>
                <w:szCs w:val="18"/>
                <w14:textFill>
                  <w14:solidFill>
                    <w14:schemeClr w14:val="tx1"/>
                  </w14:solidFill>
                </w14:textFill>
              </w:rPr>
            </w:pPr>
          </w:p>
        </w:tc>
        <w:tc>
          <w:tcPr>
            <w:tcW w:w="914" w:type="dxa"/>
            <w:vAlign w:val="center"/>
          </w:tcPr>
          <w:p w14:paraId="6B552F23">
            <w:pPr>
              <w:rPr>
                <w:rFonts w:cstheme="minorHAnsi"/>
                <w:color w:val="000000" w:themeColor="text1"/>
                <w:sz w:val="18"/>
                <w:szCs w:val="18"/>
                <w14:textFill>
                  <w14:solidFill>
                    <w14:schemeClr w14:val="tx1"/>
                  </w14:solidFill>
                </w14:textFill>
              </w:rPr>
            </w:pPr>
          </w:p>
        </w:tc>
      </w:tr>
      <w:tr w14:paraId="2BC2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5" w:type="dxa"/>
            <w:vAlign w:val="center"/>
          </w:tcPr>
          <w:p w14:paraId="5EC4EB1F">
            <w:pPr>
              <w:rPr>
                <w:rFonts w:cstheme="minorHAnsi"/>
                <w:sz w:val="18"/>
                <w:szCs w:val="18"/>
              </w:rPr>
            </w:pPr>
            <w:r>
              <w:rPr>
                <w:rFonts w:cstheme="minorHAnsi"/>
                <w:sz w:val="18"/>
                <w:szCs w:val="18"/>
              </w:rPr>
              <w:t>1.4</w:t>
            </w:r>
          </w:p>
        </w:tc>
        <w:tc>
          <w:tcPr>
            <w:tcW w:w="1038" w:type="dxa"/>
            <w:vAlign w:val="center"/>
          </w:tcPr>
          <w:p w14:paraId="437CF135">
            <w:pPr>
              <w:rPr>
                <w:rFonts w:cstheme="minorHAnsi"/>
                <w:sz w:val="18"/>
                <w:szCs w:val="18"/>
              </w:rPr>
            </w:pPr>
            <w:r>
              <w:rPr>
                <w:rFonts w:cstheme="minorHAnsi"/>
                <w:sz w:val="18"/>
                <w:szCs w:val="18"/>
              </w:rPr>
              <w:t>回收流动资金</w:t>
            </w:r>
          </w:p>
        </w:tc>
        <w:tc>
          <w:tcPr>
            <w:tcW w:w="973" w:type="dxa"/>
            <w:vAlign w:val="center"/>
          </w:tcPr>
          <w:p w14:paraId="2B3E5C24">
            <w:pPr>
              <w:rPr>
                <w:rFonts w:cstheme="minorHAnsi"/>
                <w:color w:val="000000" w:themeColor="text1"/>
                <w:sz w:val="18"/>
                <w:szCs w:val="18"/>
                <w14:textFill>
                  <w14:solidFill>
                    <w14:schemeClr w14:val="tx1"/>
                  </w14:solidFill>
                </w14:textFill>
              </w:rPr>
            </w:pPr>
          </w:p>
        </w:tc>
        <w:tc>
          <w:tcPr>
            <w:tcW w:w="858" w:type="dxa"/>
            <w:vAlign w:val="center"/>
          </w:tcPr>
          <w:p w14:paraId="12619B69">
            <w:pPr>
              <w:rPr>
                <w:rFonts w:cstheme="minorHAnsi"/>
                <w:color w:val="000000" w:themeColor="text1"/>
                <w:sz w:val="18"/>
                <w:szCs w:val="18"/>
                <w14:textFill>
                  <w14:solidFill>
                    <w14:schemeClr w14:val="tx1"/>
                  </w14:solidFill>
                </w14:textFill>
              </w:rPr>
            </w:pPr>
          </w:p>
        </w:tc>
        <w:tc>
          <w:tcPr>
            <w:tcW w:w="858" w:type="dxa"/>
            <w:vAlign w:val="center"/>
          </w:tcPr>
          <w:p w14:paraId="4593C5D0">
            <w:pPr>
              <w:rPr>
                <w:rFonts w:cstheme="minorHAnsi"/>
                <w:color w:val="000000" w:themeColor="text1"/>
                <w:sz w:val="18"/>
                <w:szCs w:val="18"/>
                <w14:textFill>
                  <w14:solidFill>
                    <w14:schemeClr w14:val="tx1"/>
                  </w14:solidFill>
                </w14:textFill>
              </w:rPr>
            </w:pPr>
          </w:p>
        </w:tc>
        <w:tc>
          <w:tcPr>
            <w:tcW w:w="914" w:type="dxa"/>
            <w:vAlign w:val="center"/>
          </w:tcPr>
          <w:p w14:paraId="51189F04">
            <w:pPr>
              <w:rPr>
                <w:rFonts w:cstheme="minorHAnsi"/>
                <w:color w:val="000000" w:themeColor="text1"/>
                <w:sz w:val="18"/>
                <w:szCs w:val="18"/>
                <w14:textFill>
                  <w14:solidFill>
                    <w14:schemeClr w14:val="tx1"/>
                  </w14:solidFill>
                </w14:textFill>
              </w:rPr>
            </w:pPr>
          </w:p>
        </w:tc>
        <w:tc>
          <w:tcPr>
            <w:tcW w:w="914" w:type="dxa"/>
            <w:vAlign w:val="center"/>
          </w:tcPr>
          <w:p w14:paraId="38995038">
            <w:pPr>
              <w:rPr>
                <w:rFonts w:cstheme="minorHAnsi"/>
                <w:color w:val="000000" w:themeColor="text1"/>
                <w:sz w:val="18"/>
                <w:szCs w:val="18"/>
                <w14:textFill>
                  <w14:solidFill>
                    <w14:schemeClr w14:val="tx1"/>
                  </w14:solidFill>
                </w14:textFill>
              </w:rPr>
            </w:pPr>
          </w:p>
        </w:tc>
        <w:tc>
          <w:tcPr>
            <w:tcW w:w="914" w:type="dxa"/>
            <w:vAlign w:val="center"/>
          </w:tcPr>
          <w:p w14:paraId="6CA7402B">
            <w:pPr>
              <w:rPr>
                <w:rFonts w:cstheme="minorHAnsi"/>
                <w:color w:val="000000" w:themeColor="text1"/>
                <w:sz w:val="18"/>
                <w:szCs w:val="18"/>
                <w14:textFill>
                  <w14:solidFill>
                    <w14:schemeClr w14:val="tx1"/>
                  </w14:solidFill>
                </w14:textFill>
              </w:rPr>
            </w:pPr>
          </w:p>
        </w:tc>
        <w:tc>
          <w:tcPr>
            <w:tcW w:w="914" w:type="dxa"/>
            <w:vAlign w:val="center"/>
          </w:tcPr>
          <w:p w14:paraId="6755AAEE">
            <w:pPr>
              <w:rPr>
                <w:rFonts w:cstheme="minorHAnsi"/>
                <w:color w:val="000000" w:themeColor="text1"/>
                <w:sz w:val="18"/>
                <w:szCs w:val="18"/>
                <w14:textFill>
                  <w14:solidFill>
                    <w14:schemeClr w14:val="tx1"/>
                  </w14:solidFill>
                </w14:textFill>
              </w:rPr>
            </w:pPr>
          </w:p>
        </w:tc>
        <w:tc>
          <w:tcPr>
            <w:tcW w:w="914" w:type="dxa"/>
            <w:vAlign w:val="center"/>
          </w:tcPr>
          <w:p w14:paraId="5C8B494C">
            <w:pPr>
              <w:rPr>
                <w:rFonts w:cstheme="minorHAnsi"/>
                <w:color w:val="000000" w:themeColor="text1"/>
                <w:sz w:val="18"/>
                <w:szCs w:val="18"/>
                <w14:textFill>
                  <w14:solidFill>
                    <w14:schemeClr w14:val="tx1"/>
                  </w14:solidFill>
                </w14:textFill>
              </w:rPr>
            </w:pPr>
          </w:p>
        </w:tc>
        <w:tc>
          <w:tcPr>
            <w:tcW w:w="914" w:type="dxa"/>
            <w:vAlign w:val="center"/>
          </w:tcPr>
          <w:p w14:paraId="6687C478">
            <w:pPr>
              <w:rPr>
                <w:rFonts w:cstheme="minorHAnsi"/>
                <w:color w:val="000000" w:themeColor="text1"/>
                <w:sz w:val="18"/>
                <w:szCs w:val="18"/>
                <w14:textFill>
                  <w14:solidFill>
                    <w14:schemeClr w14:val="tx1"/>
                  </w14:solidFill>
                </w14:textFill>
              </w:rPr>
            </w:pPr>
          </w:p>
        </w:tc>
        <w:tc>
          <w:tcPr>
            <w:tcW w:w="914" w:type="dxa"/>
            <w:vAlign w:val="center"/>
          </w:tcPr>
          <w:p w14:paraId="018923F6">
            <w:pPr>
              <w:rPr>
                <w:rFonts w:cstheme="minorHAnsi"/>
                <w:color w:val="000000" w:themeColor="text1"/>
                <w:sz w:val="18"/>
                <w:szCs w:val="18"/>
                <w14:textFill>
                  <w14:solidFill>
                    <w14:schemeClr w14:val="tx1"/>
                  </w14:solidFill>
                </w14:textFill>
              </w:rPr>
            </w:pPr>
          </w:p>
        </w:tc>
        <w:tc>
          <w:tcPr>
            <w:tcW w:w="914" w:type="dxa"/>
            <w:vAlign w:val="center"/>
          </w:tcPr>
          <w:p w14:paraId="05354B38">
            <w:pPr>
              <w:rPr>
                <w:rFonts w:cstheme="minorHAnsi"/>
                <w:color w:val="000000" w:themeColor="text1"/>
                <w:sz w:val="18"/>
                <w:szCs w:val="18"/>
                <w14:textFill>
                  <w14:solidFill>
                    <w14:schemeClr w14:val="tx1"/>
                  </w14:solidFill>
                </w14:textFill>
              </w:rPr>
            </w:pPr>
          </w:p>
        </w:tc>
        <w:tc>
          <w:tcPr>
            <w:tcW w:w="914" w:type="dxa"/>
            <w:vAlign w:val="center"/>
          </w:tcPr>
          <w:p w14:paraId="68935552">
            <w:pPr>
              <w:rPr>
                <w:rFonts w:cstheme="minorHAnsi"/>
                <w:color w:val="000000" w:themeColor="text1"/>
                <w:sz w:val="18"/>
                <w:szCs w:val="18"/>
                <w14:textFill>
                  <w14:solidFill>
                    <w14:schemeClr w14:val="tx1"/>
                  </w14:solidFill>
                </w14:textFill>
              </w:rPr>
            </w:pPr>
          </w:p>
        </w:tc>
        <w:tc>
          <w:tcPr>
            <w:tcW w:w="914" w:type="dxa"/>
            <w:vAlign w:val="center"/>
          </w:tcPr>
          <w:p w14:paraId="773D160B">
            <w:pPr>
              <w:rPr>
                <w:rFonts w:cstheme="minorHAnsi"/>
                <w:color w:val="000000" w:themeColor="text1"/>
                <w:sz w:val="18"/>
                <w:szCs w:val="18"/>
                <w14:textFill>
                  <w14:solidFill>
                    <w14:schemeClr w14:val="tx1"/>
                  </w14:solidFill>
                </w14:textFill>
              </w:rPr>
            </w:pPr>
          </w:p>
        </w:tc>
        <w:tc>
          <w:tcPr>
            <w:tcW w:w="914" w:type="dxa"/>
            <w:vAlign w:val="center"/>
          </w:tcPr>
          <w:p w14:paraId="7D838A1F">
            <w:pPr>
              <w:rPr>
                <w:rFonts w:cstheme="minorHAnsi"/>
                <w:color w:val="000000" w:themeColor="text1"/>
                <w:sz w:val="18"/>
                <w:szCs w:val="18"/>
                <w14:textFill>
                  <w14:solidFill>
                    <w14:schemeClr w14:val="tx1"/>
                  </w14:solidFill>
                </w14:textFill>
              </w:rPr>
            </w:pPr>
          </w:p>
        </w:tc>
        <w:tc>
          <w:tcPr>
            <w:tcW w:w="914" w:type="dxa"/>
            <w:vAlign w:val="center"/>
          </w:tcPr>
          <w:p w14:paraId="3A56B748">
            <w:pPr>
              <w:rPr>
                <w:rFonts w:cstheme="minorHAnsi"/>
                <w:color w:val="000000" w:themeColor="text1"/>
                <w:sz w:val="18"/>
                <w:szCs w:val="18"/>
                <w14:textFill>
                  <w14:solidFill>
                    <w14:schemeClr w14:val="tx1"/>
                  </w14:solidFill>
                </w14:textFill>
              </w:rPr>
            </w:pPr>
          </w:p>
        </w:tc>
      </w:tr>
      <w:tr w14:paraId="74A2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5" w:type="dxa"/>
            <w:vAlign w:val="center"/>
          </w:tcPr>
          <w:p w14:paraId="4E9C8BCB">
            <w:pPr>
              <w:rPr>
                <w:rFonts w:cstheme="minorHAnsi"/>
                <w:sz w:val="18"/>
                <w:szCs w:val="18"/>
              </w:rPr>
            </w:pPr>
            <w:r>
              <w:rPr>
                <w:rFonts w:cstheme="minorHAnsi"/>
                <w:sz w:val="18"/>
                <w:szCs w:val="18"/>
              </w:rPr>
              <w:t>2</w:t>
            </w:r>
          </w:p>
        </w:tc>
        <w:tc>
          <w:tcPr>
            <w:tcW w:w="1038" w:type="dxa"/>
            <w:vAlign w:val="center"/>
          </w:tcPr>
          <w:p w14:paraId="66ABD704">
            <w:pPr>
              <w:rPr>
                <w:rFonts w:cstheme="minorHAnsi"/>
                <w:sz w:val="18"/>
                <w:szCs w:val="18"/>
              </w:rPr>
            </w:pPr>
            <w:r>
              <w:rPr>
                <w:rFonts w:cstheme="minorHAnsi"/>
                <w:sz w:val="18"/>
                <w:szCs w:val="18"/>
              </w:rPr>
              <w:t>现金流出</w:t>
            </w:r>
          </w:p>
        </w:tc>
        <w:tc>
          <w:tcPr>
            <w:tcW w:w="973" w:type="dxa"/>
          </w:tcPr>
          <w:p w14:paraId="6964A059">
            <w:pPr>
              <w:rPr>
                <w:rFonts w:cstheme="minorHAnsi"/>
                <w:sz w:val="18"/>
                <w:szCs w:val="18"/>
              </w:rPr>
            </w:pPr>
            <w:r>
              <w:rPr>
                <w:sz w:val="18"/>
                <w:szCs w:val="18"/>
              </w:rPr>
              <w:t xml:space="preserve"> 288.12 </w:t>
            </w:r>
          </w:p>
        </w:tc>
        <w:tc>
          <w:tcPr>
            <w:tcW w:w="858" w:type="dxa"/>
          </w:tcPr>
          <w:p w14:paraId="546865C0">
            <w:pPr>
              <w:rPr>
                <w:rFonts w:cstheme="minorHAnsi"/>
                <w:sz w:val="18"/>
                <w:szCs w:val="18"/>
              </w:rPr>
            </w:pPr>
            <w:r>
              <w:rPr>
                <w:sz w:val="18"/>
                <w:szCs w:val="18"/>
              </w:rPr>
              <w:t xml:space="preserve"> 288.12 </w:t>
            </w:r>
          </w:p>
        </w:tc>
        <w:tc>
          <w:tcPr>
            <w:tcW w:w="858" w:type="dxa"/>
          </w:tcPr>
          <w:p w14:paraId="44145469">
            <w:pPr>
              <w:rPr>
                <w:rFonts w:cstheme="minorHAnsi"/>
                <w:sz w:val="18"/>
                <w:szCs w:val="18"/>
              </w:rPr>
            </w:pPr>
            <w:r>
              <w:rPr>
                <w:sz w:val="18"/>
                <w:szCs w:val="18"/>
              </w:rPr>
              <w:t xml:space="preserve"> 288.12 </w:t>
            </w:r>
          </w:p>
        </w:tc>
        <w:tc>
          <w:tcPr>
            <w:tcW w:w="914" w:type="dxa"/>
          </w:tcPr>
          <w:p w14:paraId="5AF71BEE">
            <w:pPr>
              <w:rPr>
                <w:rFonts w:cstheme="minorHAnsi"/>
                <w:sz w:val="18"/>
                <w:szCs w:val="18"/>
              </w:rPr>
            </w:pPr>
            <w:r>
              <w:rPr>
                <w:sz w:val="18"/>
                <w:szCs w:val="18"/>
              </w:rPr>
              <w:t xml:space="preserve"> 288.12 </w:t>
            </w:r>
          </w:p>
        </w:tc>
        <w:tc>
          <w:tcPr>
            <w:tcW w:w="914" w:type="dxa"/>
          </w:tcPr>
          <w:p w14:paraId="54F766DB">
            <w:pPr>
              <w:rPr>
                <w:rFonts w:cstheme="minorHAnsi"/>
                <w:sz w:val="18"/>
                <w:szCs w:val="18"/>
              </w:rPr>
            </w:pPr>
            <w:r>
              <w:rPr>
                <w:sz w:val="18"/>
                <w:szCs w:val="18"/>
              </w:rPr>
              <w:t xml:space="preserve"> 288.12 </w:t>
            </w:r>
          </w:p>
        </w:tc>
        <w:tc>
          <w:tcPr>
            <w:tcW w:w="914" w:type="dxa"/>
          </w:tcPr>
          <w:p w14:paraId="3231C0E4">
            <w:pPr>
              <w:rPr>
                <w:rFonts w:cstheme="minorHAnsi"/>
                <w:sz w:val="18"/>
                <w:szCs w:val="18"/>
              </w:rPr>
            </w:pPr>
            <w:r>
              <w:rPr>
                <w:sz w:val="18"/>
                <w:szCs w:val="18"/>
              </w:rPr>
              <w:t xml:space="preserve"> 288.12 </w:t>
            </w:r>
          </w:p>
        </w:tc>
        <w:tc>
          <w:tcPr>
            <w:tcW w:w="914" w:type="dxa"/>
          </w:tcPr>
          <w:p w14:paraId="39C1C2CB">
            <w:pPr>
              <w:rPr>
                <w:rFonts w:cstheme="minorHAnsi"/>
                <w:sz w:val="18"/>
                <w:szCs w:val="18"/>
              </w:rPr>
            </w:pPr>
            <w:r>
              <w:rPr>
                <w:sz w:val="18"/>
                <w:szCs w:val="18"/>
              </w:rPr>
              <w:t xml:space="preserve"> 288.12 </w:t>
            </w:r>
          </w:p>
        </w:tc>
        <w:tc>
          <w:tcPr>
            <w:tcW w:w="914" w:type="dxa"/>
          </w:tcPr>
          <w:p w14:paraId="595AC906">
            <w:pPr>
              <w:rPr>
                <w:rFonts w:cstheme="minorHAnsi"/>
                <w:sz w:val="18"/>
                <w:szCs w:val="18"/>
              </w:rPr>
            </w:pPr>
            <w:r>
              <w:rPr>
                <w:sz w:val="18"/>
                <w:szCs w:val="18"/>
              </w:rPr>
              <w:t xml:space="preserve"> 288.12 </w:t>
            </w:r>
          </w:p>
        </w:tc>
        <w:tc>
          <w:tcPr>
            <w:tcW w:w="914" w:type="dxa"/>
          </w:tcPr>
          <w:p w14:paraId="0ADEDEDF">
            <w:pPr>
              <w:rPr>
                <w:rFonts w:cstheme="minorHAnsi"/>
                <w:sz w:val="18"/>
                <w:szCs w:val="18"/>
              </w:rPr>
            </w:pPr>
            <w:r>
              <w:rPr>
                <w:sz w:val="18"/>
                <w:szCs w:val="18"/>
              </w:rPr>
              <w:t xml:space="preserve"> 288.12 </w:t>
            </w:r>
          </w:p>
        </w:tc>
        <w:tc>
          <w:tcPr>
            <w:tcW w:w="914" w:type="dxa"/>
          </w:tcPr>
          <w:p w14:paraId="2318D5DF">
            <w:pPr>
              <w:rPr>
                <w:rFonts w:cstheme="minorHAnsi"/>
                <w:sz w:val="18"/>
                <w:szCs w:val="18"/>
              </w:rPr>
            </w:pPr>
            <w:r>
              <w:rPr>
                <w:sz w:val="18"/>
                <w:szCs w:val="18"/>
              </w:rPr>
              <w:t xml:space="preserve"> 288.12 </w:t>
            </w:r>
          </w:p>
        </w:tc>
        <w:tc>
          <w:tcPr>
            <w:tcW w:w="914" w:type="dxa"/>
          </w:tcPr>
          <w:p w14:paraId="0AD1A315">
            <w:pPr>
              <w:rPr>
                <w:rFonts w:cstheme="minorHAnsi"/>
                <w:sz w:val="18"/>
                <w:szCs w:val="18"/>
              </w:rPr>
            </w:pPr>
            <w:r>
              <w:rPr>
                <w:sz w:val="18"/>
                <w:szCs w:val="18"/>
              </w:rPr>
              <w:t xml:space="preserve"> 288.12 </w:t>
            </w:r>
          </w:p>
        </w:tc>
        <w:tc>
          <w:tcPr>
            <w:tcW w:w="914" w:type="dxa"/>
          </w:tcPr>
          <w:p w14:paraId="276A12A7">
            <w:pPr>
              <w:rPr>
                <w:rFonts w:cstheme="minorHAnsi"/>
                <w:sz w:val="18"/>
                <w:szCs w:val="18"/>
              </w:rPr>
            </w:pPr>
            <w:r>
              <w:rPr>
                <w:sz w:val="18"/>
                <w:szCs w:val="18"/>
              </w:rPr>
              <w:t xml:space="preserve"> 288.12 </w:t>
            </w:r>
          </w:p>
        </w:tc>
        <w:tc>
          <w:tcPr>
            <w:tcW w:w="914" w:type="dxa"/>
          </w:tcPr>
          <w:p w14:paraId="2B5A6916">
            <w:pPr>
              <w:rPr>
                <w:rFonts w:cstheme="minorHAnsi"/>
                <w:sz w:val="18"/>
                <w:szCs w:val="18"/>
              </w:rPr>
            </w:pPr>
            <w:r>
              <w:rPr>
                <w:sz w:val="18"/>
                <w:szCs w:val="18"/>
              </w:rPr>
              <w:t xml:space="preserve"> 347.04 </w:t>
            </w:r>
          </w:p>
        </w:tc>
        <w:tc>
          <w:tcPr>
            <w:tcW w:w="914" w:type="dxa"/>
          </w:tcPr>
          <w:p w14:paraId="467E315B">
            <w:pPr>
              <w:rPr>
                <w:rFonts w:cstheme="minorHAnsi"/>
                <w:sz w:val="18"/>
                <w:szCs w:val="18"/>
              </w:rPr>
            </w:pPr>
            <w:r>
              <w:rPr>
                <w:sz w:val="18"/>
                <w:szCs w:val="18"/>
              </w:rPr>
              <w:t xml:space="preserve"> 350.93 </w:t>
            </w:r>
          </w:p>
        </w:tc>
        <w:tc>
          <w:tcPr>
            <w:tcW w:w="914" w:type="dxa"/>
          </w:tcPr>
          <w:p w14:paraId="72384B05">
            <w:pPr>
              <w:rPr>
                <w:rFonts w:cstheme="minorHAnsi"/>
                <w:sz w:val="18"/>
                <w:szCs w:val="18"/>
              </w:rPr>
            </w:pPr>
            <w:r>
              <w:rPr>
                <w:sz w:val="18"/>
                <w:szCs w:val="18"/>
              </w:rPr>
              <w:t xml:space="preserve"> 354.97 </w:t>
            </w:r>
          </w:p>
        </w:tc>
      </w:tr>
      <w:tr w14:paraId="5891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5" w:type="dxa"/>
            <w:vAlign w:val="center"/>
          </w:tcPr>
          <w:p w14:paraId="294F94E5">
            <w:pPr>
              <w:rPr>
                <w:rFonts w:cstheme="minorHAnsi"/>
                <w:sz w:val="18"/>
                <w:szCs w:val="18"/>
              </w:rPr>
            </w:pPr>
            <w:r>
              <w:rPr>
                <w:rFonts w:cstheme="minorHAnsi"/>
                <w:sz w:val="18"/>
                <w:szCs w:val="18"/>
              </w:rPr>
              <w:t>2.1</w:t>
            </w:r>
          </w:p>
        </w:tc>
        <w:tc>
          <w:tcPr>
            <w:tcW w:w="1038" w:type="dxa"/>
            <w:vAlign w:val="center"/>
          </w:tcPr>
          <w:p w14:paraId="6D0FF014">
            <w:pPr>
              <w:rPr>
                <w:rFonts w:cstheme="minorHAnsi"/>
                <w:sz w:val="18"/>
                <w:szCs w:val="18"/>
              </w:rPr>
            </w:pPr>
            <w:r>
              <w:rPr>
                <w:rFonts w:cstheme="minorHAnsi"/>
                <w:sz w:val="18"/>
                <w:szCs w:val="18"/>
              </w:rPr>
              <w:t>初始投资</w:t>
            </w:r>
          </w:p>
        </w:tc>
        <w:tc>
          <w:tcPr>
            <w:tcW w:w="973" w:type="dxa"/>
          </w:tcPr>
          <w:p w14:paraId="177A15C5">
            <w:pPr>
              <w:rPr>
                <w:rFonts w:cstheme="minorHAnsi"/>
                <w:sz w:val="18"/>
                <w:szCs w:val="18"/>
              </w:rPr>
            </w:pPr>
          </w:p>
        </w:tc>
        <w:tc>
          <w:tcPr>
            <w:tcW w:w="858" w:type="dxa"/>
          </w:tcPr>
          <w:p w14:paraId="41A1ECA0">
            <w:pPr>
              <w:rPr>
                <w:rFonts w:cstheme="minorHAnsi"/>
                <w:sz w:val="18"/>
                <w:szCs w:val="18"/>
              </w:rPr>
            </w:pPr>
          </w:p>
        </w:tc>
        <w:tc>
          <w:tcPr>
            <w:tcW w:w="858" w:type="dxa"/>
          </w:tcPr>
          <w:p w14:paraId="7BFF8997">
            <w:pPr>
              <w:rPr>
                <w:rFonts w:cstheme="minorHAnsi"/>
                <w:sz w:val="18"/>
                <w:szCs w:val="18"/>
              </w:rPr>
            </w:pPr>
          </w:p>
        </w:tc>
        <w:tc>
          <w:tcPr>
            <w:tcW w:w="914" w:type="dxa"/>
          </w:tcPr>
          <w:p w14:paraId="154E7366">
            <w:pPr>
              <w:rPr>
                <w:rFonts w:cstheme="minorHAnsi"/>
                <w:sz w:val="18"/>
                <w:szCs w:val="18"/>
              </w:rPr>
            </w:pPr>
          </w:p>
        </w:tc>
        <w:tc>
          <w:tcPr>
            <w:tcW w:w="914" w:type="dxa"/>
          </w:tcPr>
          <w:p w14:paraId="7DADC82C">
            <w:pPr>
              <w:rPr>
                <w:rFonts w:cstheme="minorHAnsi"/>
                <w:sz w:val="18"/>
                <w:szCs w:val="18"/>
              </w:rPr>
            </w:pPr>
          </w:p>
        </w:tc>
        <w:tc>
          <w:tcPr>
            <w:tcW w:w="914" w:type="dxa"/>
          </w:tcPr>
          <w:p w14:paraId="0EE54210">
            <w:pPr>
              <w:rPr>
                <w:rFonts w:cstheme="minorHAnsi"/>
                <w:sz w:val="18"/>
                <w:szCs w:val="18"/>
              </w:rPr>
            </w:pPr>
          </w:p>
        </w:tc>
        <w:tc>
          <w:tcPr>
            <w:tcW w:w="914" w:type="dxa"/>
          </w:tcPr>
          <w:p w14:paraId="0C241FE1">
            <w:pPr>
              <w:rPr>
                <w:rFonts w:cstheme="minorHAnsi"/>
                <w:sz w:val="18"/>
                <w:szCs w:val="18"/>
              </w:rPr>
            </w:pPr>
          </w:p>
        </w:tc>
        <w:tc>
          <w:tcPr>
            <w:tcW w:w="914" w:type="dxa"/>
          </w:tcPr>
          <w:p w14:paraId="60E7B9D4">
            <w:pPr>
              <w:rPr>
                <w:rFonts w:cstheme="minorHAnsi"/>
                <w:sz w:val="18"/>
                <w:szCs w:val="18"/>
              </w:rPr>
            </w:pPr>
          </w:p>
        </w:tc>
        <w:tc>
          <w:tcPr>
            <w:tcW w:w="914" w:type="dxa"/>
          </w:tcPr>
          <w:p w14:paraId="34D0D19C">
            <w:pPr>
              <w:rPr>
                <w:rFonts w:cstheme="minorHAnsi"/>
                <w:sz w:val="18"/>
                <w:szCs w:val="18"/>
              </w:rPr>
            </w:pPr>
          </w:p>
        </w:tc>
        <w:tc>
          <w:tcPr>
            <w:tcW w:w="914" w:type="dxa"/>
          </w:tcPr>
          <w:p w14:paraId="4A060E1C">
            <w:pPr>
              <w:rPr>
                <w:rFonts w:cstheme="minorHAnsi"/>
                <w:sz w:val="18"/>
                <w:szCs w:val="18"/>
              </w:rPr>
            </w:pPr>
          </w:p>
        </w:tc>
        <w:tc>
          <w:tcPr>
            <w:tcW w:w="914" w:type="dxa"/>
          </w:tcPr>
          <w:p w14:paraId="65582A1A">
            <w:pPr>
              <w:rPr>
                <w:rFonts w:cstheme="minorHAnsi"/>
                <w:sz w:val="18"/>
                <w:szCs w:val="18"/>
              </w:rPr>
            </w:pPr>
          </w:p>
        </w:tc>
        <w:tc>
          <w:tcPr>
            <w:tcW w:w="914" w:type="dxa"/>
          </w:tcPr>
          <w:p w14:paraId="025410CC">
            <w:pPr>
              <w:rPr>
                <w:rFonts w:cstheme="minorHAnsi"/>
                <w:sz w:val="18"/>
                <w:szCs w:val="18"/>
              </w:rPr>
            </w:pPr>
          </w:p>
        </w:tc>
        <w:tc>
          <w:tcPr>
            <w:tcW w:w="914" w:type="dxa"/>
          </w:tcPr>
          <w:p w14:paraId="6E15246B">
            <w:pPr>
              <w:rPr>
                <w:rFonts w:cstheme="minorHAnsi"/>
                <w:sz w:val="18"/>
                <w:szCs w:val="18"/>
              </w:rPr>
            </w:pPr>
          </w:p>
        </w:tc>
        <w:tc>
          <w:tcPr>
            <w:tcW w:w="914" w:type="dxa"/>
          </w:tcPr>
          <w:p w14:paraId="3C23138F">
            <w:pPr>
              <w:rPr>
                <w:rFonts w:cstheme="minorHAnsi"/>
                <w:sz w:val="18"/>
                <w:szCs w:val="18"/>
              </w:rPr>
            </w:pPr>
          </w:p>
        </w:tc>
        <w:tc>
          <w:tcPr>
            <w:tcW w:w="914" w:type="dxa"/>
          </w:tcPr>
          <w:p w14:paraId="28B23B14">
            <w:pPr>
              <w:rPr>
                <w:rFonts w:cstheme="minorHAnsi"/>
                <w:sz w:val="18"/>
                <w:szCs w:val="18"/>
              </w:rPr>
            </w:pPr>
          </w:p>
        </w:tc>
      </w:tr>
      <w:tr w14:paraId="6F62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5" w:type="dxa"/>
            <w:vAlign w:val="center"/>
          </w:tcPr>
          <w:p w14:paraId="5618418B">
            <w:pPr>
              <w:rPr>
                <w:rFonts w:cstheme="minorHAnsi"/>
                <w:sz w:val="18"/>
                <w:szCs w:val="18"/>
              </w:rPr>
            </w:pPr>
            <w:r>
              <w:rPr>
                <w:rFonts w:cstheme="minorHAnsi"/>
                <w:sz w:val="18"/>
                <w:szCs w:val="18"/>
              </w:rPr>
              <w:t>2.2</w:t>
            </w:r>
          </w:p>
        </w:tc>
        <w:tc>
          <w:tcPr>
            <w:tcW w:w="1038" w:type="dxa"/>
            <w:vAlign w:val="center"/>
          </w:tcPr>
          <w:p w14:paraId="7B9756CC">
            <w:pPr>
              <w:rPr>
                <w:rFonts w:cstheme="minorHAnsi"/>
                <w:sz w:val="18"/>
                <w:szCs w:val="18"/>
              </w:rPr>
            </w:pPr>
            <w:r>
              <w:rPr>
                <w:rFonts w:cstheme="minorHAnsi"/>
                <w:sz w:val="18"/>
                <w:szCs w:val="18"/>
              </w:rPr>
              <w:t>经营成本（含税）</w:t>
            </w:r>
          </w:p>
        </w:tc>
        <w:tc>
          <w:tcPr>
            <w:tcW w:w="973" w:type="dxa"/>
          </w:tcPr>
          <w:p w14:paraId="77E9C020">
            <w:pPr>
              <w:rPr>
                <w:rFonts w:cstheme="minorHAnsi"/>
                <w:sz w:val="18"/>
                <w:szCs w:val="18"/>
              </w:rPr>
            </w:pPr>
            <w:r>
              <w:rPr>
                <w:sz w:val="18"/>
                <w:szCs w:val="18"/>
              </w:rPr>
              <w:t xml:space="preserve"> 256.25 </w:t>
            </w:r>
          </w:p>
        </w:tc>
        <w:tc>
          <w:tcPr>
            <w:tcW w:w="858" w:type="dxa"/>
          </w:tcPr>
          <w:p w14:paraId="5D7C7ABE">
            <w:pPr>
              <w:rPr>
                <w:rFonts w:cstheme="minorHAnsi"/>
                <w:sz w:val="18"/>
                <w:szCs w:val="18"/>
              </w:rPr>
            </w:pPr>
            <w:r>
              <w:rPr>
                <w:sz w:val="18"/>
                <w:szCs w:val="18"/>
              </w:rPr>
              <w:t xml:space="preserve"> 256.25 </w:t>
            </w:r>
          </w:p>
        </w:tc>
        <w:tc>
          <w:tcPr>
            <w:tcW w:w="858" w:type="dxa"/>
          </w:tcPr>
          <w:p w14:paraId="0B7DB341">
            <w:pPr>
              <w:rPr>
                <w:rFonts w:cstheme="minorHAnsi"/>
                <w:sz w:val="18"/>
                <w:szCs w:val="18"/>
              </w:rPr>
            </w:pPr>
            <w:r>
              <w:rPr>
                <w:sz w:val="18"/>
                <w:szCs w:val="18"/>
              </w:rPr>
              <w:t xml:space="preserve"> 256.25 </w:t>
            </w:r>
          </w:p>
        </w:tc>
        <w:tc>
          <w:tcPr>
            <w:tcW w:w="914" w:type="dxa"/>
          </w:tcPr>
          <w:p w14:paraId="70526B20">
            <w:pPr>
              <w:rPr>
                <w:rFonts w:cstheme="minorHAnsi"/>
                <w:sz w:val="18"/>
                <w:szCs w:val="18"/>
              </w:rPr>
            </w:pPr>
            <w:r>
              <w:rPr>
                <w:sz w:val="18"/>
                <w:szCs w:val="18"/>
              </w:rPr>
              <w:t xml:space="preserve"> 256.25 </w:t>
            </w:r>
          </w:p>
        </w:tc>
        <w:tc>
          <w:tcPr>
            <w:tcW w:w="914" w:type="dxa"/>
          </w:tcPr>
          <w:p w14:paraId="24E49267">
            <w:pPr>
              <w:rPr>
                <w:rFonts w:cstheme="minorHAnsi"/>
                <w:sz w:val="18"/>
                <w:szCs w:val="18"/>
              </w:rPr>
            </w:pPr>
            <w:r>
              <w:rPr>
                <w:sz w:val="18"/>
                <w:szCs w:val="18"/>
              </w:rPr>
              <w:t xml:space="preserve"> 256.25 </w:t>
            </w:r>
          </w:p>
        </w:tc>
        <w:tc>
          <w:tcPr>
            <w:tcW w:w="914" w:type="dxa"/>
          </w:tcPr>
          <w:p w14:paraId="6FD142EC">
            <w:pPr>
              <w:rPr>
                <w:rFonts w:cstheme="minorHAnsi"/>
                <w:sz w:val="18"/>
                <w:szCs w:val="18"/>
              </w:rPr>
            </w:pPr>
            <w:r>
              <w:rPr>
                <w:sz w:val="18"/>
                <w:szCs w:val="18"/>
              </w:rPr>
              <w:t xml:space="preserve"> 256.25 </w:t>
            </w:r>
          </w:p>
        </w:tc>
        <w:tc>
          <w:tcPr>
            <w:tcW w:w="914" w:type="dxa"/>
          </w:tcPr>
          <w:p w14:paraId="4A0138D7">
            <w:pPr>
              <w:rPr>
                <w:rFonts w:cstheme="minorHAnsi"/>
                <w:sz w:val="18"/>
                <w:szCs w:val="18"/>
              </w:rPr>
            </w:pPr>
            <w:r>
              <w:rPr>
                <w:sz w:val="18"/>
                <w:szCs w:val="18"/>
              </w:rPr>
              <w:t xml:space="preserve"> 256.25 </w:t>
            </w:r>
          </w:p>
        </w:tc>
        <w:tc>
          <w:tcPr>
            <w:tcW w:w="914" w:type="dxa"/>
          </w:tcPr>
          <w:p w14:paraId="2BEE7988">
            <w:pPr>
              <w:rPr>
                <w:rFonts w:cstheme="minorHAnsi"/>
                <w:sz w:val="18"/>
                <w:szCs w:val="18"/>
              </w:rPr>
            </w:pPr>
            <w:r>
              <w:rPr>
                <w:sz w:val="18"/>
                <w:szCs w:val="18"/>
              </w:rPr>
              <w:t xml:space="preserve"> 256.25 </w:t>
            </w:r>
          </w:p>
        </w:tc>
        <w:tc>
          <w:tcPr>
            <w:tcW w:w="914" w:type="dxa"/>
          </w:tcPr>
          <w:p w14:paraId="76B91FAF">
            <w:pPr>
              <w:rPr>
                <w:rFonts w:cstheme="minorHAnsi"/>
                <w:sz w:val="18"/>
                <w:szCs w:val="18"/>
              </w:rPr>
            </w:pPr>
            <w:r>
              <w:rPr>
                <w:sz w:val="18"/>
                <w:szCs w:val="18"/>
              </w:rPr>
              <w:t xml:space="preserve"> 256.25 </w:t>
            </w:r>
          </w:p>
        </w:tc>
        <w:tc>
          <w:tcPr>
            <w:tcW w:w="914" w:type="dxa"/>
          </w:tcPr>
          <w:p w14:paraId="37016F24">
            <w:pPr>
              <w:rPr>
                <w:rFonts w:cstheme="minorHAnsi"/>
                <w:sz w:val="18"/>
                <w:szCs w:val="18"/>
              </w:rPr>
            </w:pPr>
            <w:r>
              <w:rPr>
                <w:sz w:val="18"/>
                <w:szCs w:val="18"/>
              </w:rPr>
              <w:t xml:space="preserve"> 256.25 </w:t>
            </w:r>
          </w:p>
        </w:tc>
        <w:tc>
          <w:tcPr>
            <w:tcW w:w="914" w:type="dxa"/>
          </w:tcPr>
          <w:p w14:paraId="4D118794">
            <w:pPr>
              <w:rPr>
                <w:rFonts w:cstheme="minorHAnsi"/>
                <w:sz w:val="18"/>
                <w:szCs w:val="18"/>
              </w:rPr>
            </w:pPr>
            <w:r>
              <w:rPr>
                <w:sz w:val="18"/>
                <w:szCs w:val="18"/>
              </w:rPr>
              <w:t xml:space="preserve"> 256.25 </w:t>
            </w:r>
          </w:p>
        </w:tc>
        <w:tc>
          <w:tcPr>
            <w:tcW w:w="914" w:type="dxa"/>
          </w:tcPr>
          <w:p w14:paraId="348B07E4">
            <w:pPr>
              <w:rPr>
                <w:rFonts w:cstheme="minorHAnsi"/>
                <w:sz w:val="18"/>
                <w:szCs w:val="18"/>
              </w:rPr>
            </w:pPr>
            <w:r>
              <w:rPr>
                <w:sz w:val="18"/>
                <w:szCs w:val="18"/>
              </w:rPr>
              <w:t xml:space="preserve"> 256.25 </w:t>
            </w:r>
          </w:p>
        </w:tc>
        <w:tc>
          <w:tcPr>
            <w:tcW w:w="914" w:type="dxa"/>
          </w:tcPr>
          <w:p w14:paraId="54BA8879">
            <w:pPr>
              <w:rPr>
                <w:rFonts w:cstheme="minorHAnsi"/>
                <w:sz w:val="18"/>
                <w:szCs w:val="18"/>
              </w:rPr>
            </w:pPr>
            <w:r>
              <w:rPr>
                <w:sz w:val="18"/>
                <w:szCs w:val="18"/>
              </w:rPr>
              <w:t xml:space="preserve"> 256.25 </w:t>
            </w:r>
          </w:p>
        </w:tc>
        <w:tc>
          <w:tcPr>
            <w:tcW w:w="914" w:type="dxa"/>
          </w:tcPr>
          <w:p w14:paraId="13127136">
            <w:pPr>
              <w:rPr>
                <w:rFonts w:cstheme="minorHAnsi"/>
                <w:sz w:val="18"/>
                <w:szCs w:val="18"/>
              </w:rPr>
            </w:pPr>
            <w:r>
              <w:rPr>
                <w:sz w:val="18"/>
                <w:szCs w:val="18"/>
              </w:rPr>
              <w:t xml:space="preserve"> 256.25 </w:t>
            </w:r>
          </w:p>
        </w:tc>
        <w:tc>
          <w:tcPr>
            <w:tcW w:w="914" w:type="dxa"/>
          </w:tcPr>
          <w:p w14:paraId="458DE3A2">
            <w:pPr>
              <w:rPr>
                <w:rFonts w:cstheme="minorHAnsi"/>
                <w:sz w:val="18"/>
                <w:szCs w:val="18"/>
              </w:rPr>
            </w:pPr>
            <w:r>
              <w:rPr>
                <w:sz w:val="18"/>
                <w:szCs w:val="18"/>
              </w:rPr>
              <w:t xml:space="preserve"> 256.25 </w:t>
            </w:r>
          </w:p>
        </w:tc>
      </w:tr>
      <w:tr w14:paraId="64AB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5" w:type="dxa"/>
            <w:vAlign w:val="center"/>
          </w:tcPr>
          <w:p w14:paraId="3300A2E1">
            <w:pPr>
              <w:rPr>
                <w:rFonts w:cstheme="minorHAnsi"/>
                <w:sz w:val="18"/>
                <w:szCs w:val="18"/>
              </w:rPr>
            </w:pPr>
            <w:r>
              <w:rPr>
                <w:rFonts w:cstheme="minorHAnsi"/>
                <w:sz w:val="18"/>
                <w:szCs w:val="18"/>
              </w:rPr>
              <w:t>2.3</w:t>
            </w:r>
          </w:p>
        </w:tc>
        <w:tc>
          <w:tcPr>
            <w:tcW w:w="1038" w:type="dxa"/>
            <w:vAlign w:val="center"/>
          </w:tcPr>
          <w:p w14:paraId="3A75735F">
            <w:pPr>
              <w:rPr>
                <w:rFonts w:cstheme="minorHAnsi"/>
                <w:sz w:val="18"/>
                <w:szCs w:val="18"/>
              </w:rPr>
            </w:pPr>
            <w:r>
              <w:rPr>
                <w:rFonts w:cstheme="minorHAnsi"/>
                <w:sz w:val="18"/>
                <w:szCs w:val="18"/>
              </w:rPr>
              <w:t>增值税</w:t>
            </w:r>
          </w:p>
        </w:tc>
        <w:tc>
          <w:tcPr>
            <w:tcW w:w="973" w:type="dxa"/>
          </w:tcPr>
          <w:p w14:paraId="46D7D0FD">
            <w:pPr>
              <w:rPr>
                <w:rFonts w:cstheme="minorHAnsi"/>
                <w:sz w:val="18"/>
                <w:szCs w:val="18"/>
              </w:rPr>
            </w:pPr>
            <w:r>
              <w:rPr>
                <w:sz w:val="18"/>
                <w:szCs w:val="18"/>
              </w:rPr>
              <w:t xml:space="preserve"> 28.46 </w:t>
            </w:r>
          </w:p>
        </w:tc>
        <w:tc>
          <w:tcPr>
            <w:tcW w:w="858" w:type="dxa"/>
          </w:tcPr>
          <w:p w14:paraId="60794CB4">
            <w:pPr>
              <w:rPr>
                <w:rFonts w:cstheme="minorHAnsi"/>
                <w:sz w:val="18"/>
                <w:szCs w:val="18"/>
              </w:rPr>
            </w:pPr>
            <w:r>
              <w:rPr>
                <w:sz w:val="18"/>
                <w:szCs w:val="18"/>
              </w:rPr>
              <w:t xml:space="preserve"> 28.46 </w:t>
            </w:r>
          </w:p>
        </w:tc>
        <w:tc>
          <w:tcPr>
            <w:tcW w:w="858" w:type="dxa"/>
          </w:tcPr>
          <w:p w14:paraId="28808A95">
            <w:pPr>
              <w:rPr>
                <w:rFonts w:cstheme="minorHAnsi"/>
                <w:sz w:val="18"/>
                <w:szCs w:val="18"/>
              </w:rPr>
            </w:pPr>
            <w:r>
              <w:rPr>
                <w:sz w:val="18"/>
                <w:szCs w:val="18"/>
              </w:rPr>
              <w:t xml:space="preserve"> 28.46 </w:t>
            </w:r>
          </w:p>
        </w:tc>
        <w:tc>
          <w:tcPr>
            <w:tcW w:w="914" w:type="dxa"/>
          </w:tcPr>
          <w:p w14:paraId="66512CE6">
            <w:pPr>
              <w:rPr>
                <w:rFonts w:cstheme="minorHAnsi"/>
                <w:sz w:val="18"/>
                <w:szCs w:val="18"/>
              </w:rPr>
            </w:pPr>
            <w:r>
              <w:rPr>
                <w:sz w:val="18"/>
                <w:szCs w:val="18"/>
              </w:rPr>
              <w:t xml:space="preserve"> 28.46 </w:t>
            </w:r>
          </w:p>
        </w:tc>
        <w:tc>
          <w:tcPr>
            <w:tcW w:w="914" w:type="dxa"/>
          </w:tcPr>
          <w:p w14:paraId="53346B4A">
            <w:pPr>
              <w:rPr>
                <w:rFonts w:cstheme="minorHAnsi"/>
                <w:sz w:val="18"/>
                <w:szCs w:val="18"/>
              </w:rPr>
            </w:pPr>
            <w:r>
              <w:rPr>
                <w:sz w:val="18"/>
                <w:szCs w:val="18"/>
              </w:rPr>
              <w:t xml:space="preserve"> 28.46 </w:t>
            </w:r>
          </w:p>
        </w:tc>
        <w:tc>
          <w:tcPr>
            <w:tcW w:w="914" w:type="dxa"/>
          </w:tcPr>
          <w:p w14:paraId="1D04D9C4">
            <w:pPr>
              <w:rPr>
                <w:rFonts w:cstheme="minorHAnsi"/>
                <w:sz w:val="18"/>
                <w:szCs w:val="18"/>
              </w:rPr>
            </w:pPr>
            <w:r>
              <w:rPr>
                <w:sz w:val="18"/>
                <w:szCs w:val="18"/>
              </w:rPr>
              <w:t xml:space="preserve"> 28.46 </w:t>
            </w:r>
          </w:p>
        </w:tc>
        <w:tc>
          <w:tcPr>
            <w:tcW w:w="914" w:type="dxa"/>
          </w:tcPr>
          <w:p w14:paraId="5E22EC8C">
            <w:pPr>
              <w:rPr>
                <w:rFonts w:cstheme="minorHAnsi"/>
                <w:sz w:val="18"/>
                <w:szCs w:val="18"/>
              </w:rPr>
            </w:pPr>
            <w:r>
              <w:rPr>
                <w:sz w:val="18"/>
                <w:szCs w:val="18"/>
              </w:rPr>
              <w:t xml:space="preserve"> 28.46 </w:t>
            </w:r>
          </w:p>
        </w:tc>
        <w:tc>
          <w:tcPr>
            <w:tcW w:w="914" w:type="dxa"/>
          </w:tcPr>
          <w:p w14:paraId="7CD9A779">
            <w:pPr>
              <w:rPr>
                <w:rFonts w:cstheme="minorHAnsi"/>
                <w:sz w:val="18"/>
                <w:szCs w:val="18"/>
              </w:rPr>
            </w:pPr>
            <w:r>
              <w:rPr>
                <w:sz w:val="18"/>
                <w:szCs w:val="18"/>
              </w:rPr>
              <w:t xml:space="preserve"> 28.46 </w:t>
            </w:r>
          </w:p>
        </w:tc>
        <w:tc>
          <w:tcPr>
            <w:tcW w:w="914" w:type="dxa"/>
          </w:tcPr>
          <w:p w14:paraId="44FACD62">
            <w:pPr>
              <w:rPr>
                <w:rFonts w:cstheme="minorHAnsi"/>
                <w:sz w:val="18"/>
                <w:szCs w:val="18"/>
              </w:rPr>
            </w:pPr>
            <w:r>
              <w:rPr>
                <w:sz w:val="18"/>
                <w:szCs w:val="18"/>
              </w:rPr>
              <w:t xml:space="preserve"> 28.46 </w:t>
            </w:r>
          </w:p>
        </w:tc>
        <w:tc>
          <w:tcPr>
            <w:tcW w:w="914" w:type="dxa"/>
          </w:tcPr>
          <w:p w14:paraId="64A60F54">
            <w:pPr>
              <w:rPr>
                <w:rFonts w:cstheme="minorHAnsi"/>
                <w:sz w:val="18"/>
                <w:szCs w:val="18"/>
              </w:rPr>
            </w:pPr>
            <w:r>
              <w:rPr>
                <w:sz w:val="18"/>
                <w:szCs w:val="18"/>
              </w:rPr>
              <w:t xml:space="preserve"> 28.46 </w:t>
            </w:r>
          </w:p>
        </w:tc>
        <w:tc>
          <w:tcPr>
            <w:tcW w:w="914" w:type="dxa"/>
          </w:tcPr>
          <w:p w14:paraId="51A6E47A">
            <w:pPr>
              <w:rPr>
                <w:rFonts w:cstheme="minorHAnsi"/>
                <w:sz w:val="18"/>
                <w:szCs w:val="18"/>
              </w:rPr>
            </w:pPr>
            <w:r>
              <w:rPr>
                <w:sz w:val="18"/>
                <w:szCs w:val="18"/>
              </w:rPr>
              <w:t xml:space="preserve"> 28.46 </w:t>
            </w:r>
          </w:p>
        </w:tc>
        <w:tc>
          <w:tcPr>
            <w:tcW w:w="914" w:type="dxa"/>
          </w:tcPr>
          <w:p w14:paraId="0A9809CB">
            <w:pPr>
              <w:rPr>
                <w:rFonts w:cstheme="minorHAnsi"/>
                <w:sz w:val="18"/>
                <w:szCs w:val="18"/>
              </w:rPr>
            </w:pPr>
            <w:r>
              <w:rPr>
                <w:sz w:val="18"/>
                <w:szCs w:val="18"/>
              </w:rPr>
              <w:t xml:space="preserve"> 28.46 </w:t>
            </w:r>
          </w:p>
        </w:tc>
        <w:tc>
          <w:tcPr>
            <w:tcW w:w="914" w:type="dxa"/>
          </w:tcPr>
          <w:p w14:paraId="05BC72B0">
            <w:pPr>
              <w:rPr>
                <w:rFonts w:cstheme="minorHAnsi"/>
                <w:sz w:val="18"/>
                <w:szCs w:val="18"/>
              </w:rPr>
            </w:pPr>
            <w:r>
              <w:rPr>
                <w:sz w:val="18"/>
                <w:szCs w:val="18"/>
              </w:rPr>
              <w:t xml:space="preserve"> 28.46 </w:t>
            </w:r>
          </w:p>
        </w:tc>
        <w:tc>
          <w:tcPr>
            <w:tcW w:w="914" w:type="dxa"/>
          </w:tcPr>
          <w:p w14:paraId="2988776C">
            <w:pPr>
              <w:rPr>
                <w:rFonts w:cstheme="minorHAnsi"/>
                <w:sz w:val="18"/>
                <w:szCs w:val="18"/>
              </w:rPr>
            </w:pPr>
            <w:r>
              <w:rPr>
                <w:sz w:val="18"/>
                <w:szCs w:val="18"/>
              </w:rPr>
              <w:t xml:space="preserve"> 28.46 </w:t>
            </w:r>
          </w:p>
        </w:tc>
        <w:tc>
          <w:tcPr>
            <w:tcW w:w="914" w:type="dxa"/>
          </w:tcPr>
          <w:p w14:paraId="735A2786">
            <w:pPr>
              <w:rPr>
                <w:rFonts w:cstheme="minorHAnsi"/>
                <w:sz w:val="18"/>
                <w:szCs w:val="18"/>
              </w:rPr>
            </w:pPr>
            <w:r>
              <w:rPr>
                <w:sz w:val="18"/>
                <w:szCs w:val="18"/>
              </w:rPr>
              <w:t xml:space="preserve"> 28.46 </w:t>
            </w:r>
          </w:p>
        </w:tc>
      </w:tr>
      <w:tr w14:paraId="33CD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5" w:type="dxa"/>
            <w:vAlign w:val="center"/>
          </w:tcPr>
          <w:p w14:paraId="16576E87">
            <w:pPr>
              <w:rPr>
                <w:rFonts w:cstheme="minorHAnsi"/>
                <w:sz w:val="18"/>
                <w:szCs w:val="18"/>
              </w:rPr>
            </w:pPr>
            <w:r>
              <w:rPr>
                <w:rFonts w:cstheme="minorHAnsi"/>
                <w:sz w:val="18"/>
                <w:szCs w:val="18"/>
              </w:rPr>
              <w:t>2.4</w:t>
            </w:r>
          </w:p>
        </w:tc>
        <w:tc>
          <w:tcPr>
            <w:tcW w:w="1038" w:type="dxa"/>
            <w:vAlign w:val="center"/>
          </w:tcPr>
          <w:p w14:paraId="3337EA97">
            <w:pPr>
              <w:rPr>
                <w:rFonts w:cstheme="minorHAnsi"/>
                <w:sz w:val="18"/>
                <w:szCs w:val="18"/>
              </w:rPr>
            </w:pPr>
            <w:r>
              <w:rPr>
                <w:rFonts w:cstheme="minorHAnsi"/>
                <w:sz w:val="18"/>
                <w:szCs w:val="18"/>
              </w:rPr>
              <w:t>税金及附加</w:t>
            </w:r>
          </w:p>
        </w:tc>
        <w:tc>
          <w:tcPr>
            <w:tcW w:w="973" w:type="dxa"/>
          </w:tcPr>
          <w:p w14:paraId="032F6984">
            <w:pPr>
              <w:rPr>
                <w:rFonts w:cstheme="minorHAnsi"/>
                <w:sz w:val="18"/>
                <w:szCs w:val="18"/>
              </w:rPr>
            </w:pPr>
            <w:r>
              <w:rPr>
                <w:sz w:val="18"/>
                <w:szCs w:val="18"/>
              </w:rPr>
              <w:t xml:space="preserve"> 3.41 </w:t>
            </w:r>
          </w:p>
        </w:tc>
        <w:tc>
          <w:tcPr>
            <w:tcW w:w="858" w:type="dxa"/>
          </w:tcPr>
          <w:p w14:paraId="4CEFAB71">
            <w:pPr>
              <w:rPr>
                <w:rFonts w:cstheme="minorHAnsi"/>
                <w:sz w:val="18"/>
                <w:szCs w:val="18"/>
              </w:rPr>
            </w:pPr>
            <w:r>
              <w:rPr>
                <w:sz w:val="18"/>
                <w:szCs w:val="18"/>
              </w:rPr>
              <w:t xml:space="preserve"> 3.41 </w:t>
            </w:r>
          </w:p>
        </w:tc>
        <w:tc>
          <w:tcPr>
            <w:tcW w:w="858" w:type="dxa"/>
          </w:tcPr>
          <w:p w14:paraId="2190FAA0">
            <w:pPr>
              <w:rPr>
                <w:rFonts w:cstheme="minorHAnsi"/>
                <w:sz w:val="18"/>
                <w:szCs w:val="18"/>
              </w:rPr>
            </w:pPr>
            <w:r>
              <w:rPr>
                <w:sz w:val="18"/>
                <w:szCs w:val="18"/>
              </w:rPr>
              <w:t xml:space="preserve"> 3.41 </w:t>
            </w:r>
          </w:p>
        </w:tc>
        <w:tc>
          <w:tcPr>
            <w:tcW w:w="914" w:type="dxa"/>
          </w:tcPr>
          <w:p w14:paraId="51EB9E2C">
            <w:pPr>
              <w:rPr>
                <w:rFonts w:cstheme="minorHAnsi"/>
                <w:sz w:val="18"/>
                <w:szCs w:val="18"/>
              </w:rPr>
            </w:pPr>
            <w:r>
              <w:rPr>
                <w:sz w:val="18"/>
                <w:szCs w:val="18"/>
              </w:rPr>
              <w:t xml:space="preserve"> 3.41 </w:t>
            </w:r>
          </w:p>
        </w:tc>
        <w:tc>
          <w:tcPr>
            <w:tcW w:w="914" w:type="dxa"/>
          </w:tcPr>
          <w:p w14:paraId="571FD3DA">
            <w:pPr>
              <w:rPr>
                <w:rFonts w:cstheme="minorHAnsi"/>
                <w:sz w:val="18"/>
                <w:szCs w:val="18"/>
              </w:rPr>
            </w:pPr>
            <w:r>
              <w:rPr>
                <w:sz w:val="18"/>
                <w:szCs w:val="18"/>
              </w:rPr>
              <w:t xml:space="preserve"> 3.41 </w:t>
            </w:r>
          </w:p>
        </w:tc>
        <w:tc>
          <w:tcPr>
            <w:tcW w:w="914" w:type="dxa"/>
          </w:tcPr>
          <w:p w14:paraId="7B0F322D">
            <w:pPr>
              <w:rPr>
                <w:rFonts w:cstheme="minorHAnsi"/>
                <w:sz w:val="18"/>
                <w:szCs w:val="18"/>
              </w:rPr>
            </w:pPr>
            <w:r>
              <w:rPr>
                <w:sz w:val="18"/>
                <w:szCs w:val="18"/>
              </w:rPr>
              <w:t xml:space="preserve"> 3.41 </w:t>
            </w:r>
          </w:p>
        </w:tc>
        <w:tc>
          <w:tcPr>
            <w:tcW w:w="914" w:type="dxa"/>
          </w:tcPr>
          <w:p w14:paraId="1104DC57">
            <w:pPr>
              <w:rPr>
                <w:rFonts w:cstheme="minorHAnsi"/>
                <w:sz w:val="18"/>
                <w:szCs w:val="18"/>
              </w:rPr>
            </w:pPr>
            <w:r>
              <w:rPr>
                <w:sz w:val="18"/>
                <w:szCs w:val="18"/>
              </w:rPr>
              <w:t xml:space="preserve"> 3.41 </w:t>
            </w:r>
          </w:p>
        </w:tc>
        <w:tc>
          <w:tcPr>
            <w:tcW w:w="914" w:type="dxa"/>
          </w:tcPr>
          <w:p w14:paraId="0285AFFB">
            <w:pPr>
              <w:rPr>
                <w:rFonts w:cstheme="minorHAnsi"/>
                <w:sz w:val="18"/>
                <w:szCs w:val="18"/>
              </w:rPr>
            </w:pPr>
            <w:r>
              <w:rPr>
                <w:sz w:val="18"/>
                <w:szCs w:val="18"/>
              </w:rPr>
              <w:t xml:space="preserve"> 3.41 </w:t>
            </w:r>
          </w:p>
        </w:tc>
        <w:tc>
          <w:tcPr>
            <w:tcW w:w="914" w:type="dxa"/>
          </w:tcPr>
          <w:p w14:paraId="5DBCD067">
            <w:pPr>
              <w:rPr>
                <w:rFonts w:cstheme="minorHAnsi"/>
                <w:sz w:val="18"/>
                <w:szCs w:val="18"/>
              </w:rPr>
            </w:pPr>
            <w:r>
              <w:rPr>
                <w:sz w:val="18"/>
                <w:szCs w:val="18"/>
              </w:rPr>
              <w:t xml:space="preserve"> 3.41 </w:t>
            </w:r>
          </w:p>
        </w:tc>
        <w:tc>
          <w:tcPr>
            <w:tcW w:w="914" w:type="dxa"/>
          </w:tcPr>
          <w:p w14:paraId="2F93DD4F">
            <w:pPr>
              <w:rPr>
                <w:rFonts w:cstheme="minorHAnsi"/>
                <w:sz w:val="18"/>
                <w:szCs w:val="18"/>
              </w:rPr>
            </w:pPr>
            <w:r>
              <w:rPr>
                <w:sz w:val="18"/>
                <w:szCs w:val="18"/>
              </w:rPr>
              <w:t xml:space="preserve"> 3.41 </w:t>
            </w:r>
          </w:p>
        </w:tc>
        <w:tc>
          <w:tcPr>
            <w:tcW w:w="914" w:type="dxa"/>
          </w:tcPr>
          <w:p w14:paraId="569DDAAB">
            <w:pPr>
              <w:rPr>
                <w:rFonts w:cstheme="minorHAnsi"/>
                <w:sz w:val="18"/>
                <w:szCs w:val="18"/>
              </w:rPr>
            </w:pPr>
            <w:r>
              <w:rPr>
                <w:sz w:val="18"/>
                <w:szCs w:val="18"/>
              </w:rPr>
              <w:t xml:space="preserve"> 3.41 </w:t>
            </w:r>
          </w:p>
        </w:tc>
        <w:tc>
          <w:tcPr>
            <w:tcW w:w="914" w:type="dxa"/>
          </w:tcPr>
          <w:p w14:paraId="00DAAA17">
            <w:pPr>
              <w:rPr>
                <w:rFonts w:cstheme="minorHAnsi"/>
                <w:sz w:val="18"/>
                <w:szCs w:val="18"/>
              </w:rPr>
            </w:pPr>
            <w:r>
              <w:rPr>
                <w:sz w:val="18"/>
                <w:szCs w:val="18"/>
              </w:rPr>
              <w:t xml:space="preserve"> 3.41 </w:t>
            </w:r>
          </w:p>
        </w:tc>
        <w:tc>
          <w:tcPr>
            <w:tcW w:w="914" w:type="dxa"/>
          </w:tcPr>
          <w:p w14:paraId="5FBBF145">
            <w:pPr>
              <w:rPr>
                <w:rFonts w:cstheme="minorHAnsi"/>
                <w:sz w:val="18"/>
                <w:szCs w:val="18"/>
              </w:rPr>
            </w:pPr>
            <w:r>
              <w:rPr>
                <w:sz w:val="18"/>
                <w:szCs w:val="18"/>
              </w:rPr>
              <w:t xml:space="preserve"> 3.41 </w:t>
            </w:r>
          </w:p>
        </w:tc>
        <w:tc>
          <w:tcPr>
            <w:tcW w:w="914" w:type="dxa"/>
          </w:tcPr>
          <w:p w14:paraId="4823D7C2">
            <w:pPr>
              <w:rPr>
                <w:rFonts w:cstheme="minorHAnsi"/>
                <w:sz w:val="18"/>
                <w:szCs w:val="18"/>
              </w:rPr>
            </w:pPr>
            <w:r>
              <w:rPr>
                <w:sz w:val="18"/>
                <w:szCs w:val="18"/>
              </w:rPr>
              <w:t xml:space="preserve"> 3.41 </w:t>
            </w:r>
          </w:p>
        </w:tc>
        <w:tc>
          <w:tcPr>
            <w:tcW w:w="914" w:type="dxa"/>
          </w:tcPr>
          <w:p w14:paraId="2218FDCD">
            <w:pPr>
              <w:rPr>
                <w:rFonts w:cstheme="minorHAnsi"/>
                <w:sz w:val="18"/>
                <w:szCs w:val="18"/>
              </w:rPr>
            </w:pPr>
            <w:r>
              <w:rPr>
                <w:sz w:val="18"/>
                <w:szCs w:val="18"/>
              </w:rPr>
              <w:t xml:space="preserve"> 3.41 </w:t>
            </w:r>
          </w:p>
        </w:tc>
      </w:tr>
      <w:tr w14:paraId="2126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5" w:type="dxa"/>
            <w:vAlign w:val="center"/>
          </w:tcPr>
          <w:p w14:paraId="6B62905B">
            <w:pPr>
              <w:rPr>
                <w:rFonts w:cstheme="minorHAnsi"/>
                <w:sz w:val="18"/>
                <w:szCs w:val="18"/>
              </w:rPr>
            </w:pPr>
            <w:r>
              <w:rPr>
                <w:rFonts w:cstheme="minorHAnsi"/>
                <w:sz w:val="18"/>
                <w:szCs w:val="18"/>
              </w:rPr>
              <w:t>2.5</w:t>
            </w:r>
          </w:p>
        </w:tc>
        <w:tc>
          <w:tcPr>
            <w:tcW w:w="1038" w:type="dxa"/>
            <w:vAlign w:val="center"/>
          </w:tcPr>
          <w:p w14:paraId="3F48DE6E">
            <w:pPr>
              <w:rPr>
                <w:rFonts w:cstheme="minorHAnsi"/>
                <w:sz w:val="18"/>
                <w:szCs w:val="18"/>
              </w:rPr>
            </w:pPr>
            <w:r>
              <w:rPr>
                <w:rFonts w:cstheme="minorHAnsi"/>
                <w:sz w:val="18"/>
                <w:szCs w:val="18"/>
              </w:rPr>
              <w:t>企业所得税</w:t>
            </w:r>
          </w:p>
        </w:tc>
        <w:tc>
          <w:tcPr>
            <w:tcW w:w="973" w:type="dxa"/>
          </w:tcPr>
          <w:p w14:paraId="698A0709">
            <w:pPr>
              <w:rPr>
                <w:rFonts w:cstheme="minorHAnsi"/>
                <w:sz w:val="18"/>
                <w:szCs w:val="18"/>
              </w:rPr>
            </w:pPr>
            <w:r>
              <w:rPr>
                <w:sz w:val="18"/>
                <w:szCs w:val="18"/>
              </w:rPr>
              <w:t xml:space="preserve"> 21.47 </w:t>
            </w:r>
          </w:p>
        </w:tc>
        <w:tc>
          <w:tcPr>
            <w:tcW w:w="858" w:type="dxa"/>
          </w:tcPr>
          <w:p w14:paraId="6F3CE5BE">
            <w:pPr>
              <w:rPr>
                <w:rFonts w:cstheme="minorHAnsi"/>
                <w:sz w:val="18"/>
                <w:szCs w:val="18"/>
              </w:rPr>
            </w:pPr>
            <w:r>
              <w:rPr>
                <w:sz w:val="18"/>
                <w:szCs w:val="18"/>
              </w:rPr>
              <w:t xml:space="preserve"> 24.02 </w:t>
            </w:r>
          </w:p>
        </w:tc>
        <w:tc>
          <w:tcPr>
            <w:tcW w:w="858" w:type="dxa"/>
          </w:tcPr>
          <w:p w14:paraId="0E46A56F">
            <w:pPr>
              <w:rPr>
                <w:rFonts w:cstheme="minorHAnsi"/>
                <w:sz w:val="18"/>
                <w:szCs w:val="18"/>
              </w:rPr>
            </w:pPr>
            <w:r>
              <w:rPr>
                <w:sz w:val="18"/>
                <w:szCs w:val="18"/>
              </w:rPr>
              <w:t xml:space="preserve"> 26.66 </w:t>
            </w:r>
          </w:p>
        </w:tc>
        <w:tc>
          <w:tcPr>
            <w:tcW w:w="914" w:type="dxa"/>
          </w:tcPr>
          <w:p w14:paraId="47454D18">
            <w:pPr>
              <w:rPr>
                <w:rFonts w:cstheme="minorHAnsi"/>
                <w:sz w:val="18"/>
                <w:szCs w:val="18"/>
              </w:rPr>
            </w:pPr>
            <w:r>
              <w:rPr>
                <w:sz w:val="18"/>
                <w:szCs w:val="18"/>
              </w:rPr>
              <w:t xml:space="preserve"> 29.40 </w:t>
            </w:r>
          </w:p>
        </w:tc>
        <w:tc>
          <w:tcPr>
            <w:tcW w:w="914" w:type="dxa"/>
          </w:tcPr>
          <w:p w14:paraId="48AB6D48">
            <w:pPr>
              <w:rPr>
                <w:rFonts w:cstheme="minorHAnsi"/>
                <w:sz w:val="18"/>
                <w:szCs w:val="18"/>
              </w:rPr>
            </w:pPr>
            <w:r>
              <w:rPr>
                <w:sz w:val="18"/>
                <w:szCs w:val="18"/>
              </w:rPr>
              <w:t xml:space="preserve"> 32.24 </w:t>
            </w:r>
          </w:p>
        </w:tc>
        <w:tc>
          <w:tcPr>
            <w:tcW w:w="914" w:type="dxa"/>
          </w:tcPr>
          <w:p w14:paraId="738C3BA5">
            <w:pPr>
              <w:rPr>
                <w:rFonts w:cstheme="minorHAnsi"/>
                <w:sz w:val="18"/>
                <w:szCs w:val="18"/>
              </w:rPr>
            </w:pPr>
            <w:r>
              <w:rPr>
                <w:sz w:val="18"/>
                <w:szCs w:val="18"/>
              </w:rPr>
              <w:t xml:space="preserve"> 35.17 </w:t>
            </w:r>
          </w:p>
        </w:tc>
        <w:tc>
          <w:tcPr>
            <w:tcW w:w="914" w:type="dxa"/>
          </w:tcPr>
          <w:p w14:paraId="65D916A2">
            <w:pPr>
              <w:rPr>
                <w:rFonts w:cstheme="minorHAnsi"/>
                <w:sz w:val="18"/>
                <w:szCs w:val="18"/>
              </w:rPr>
            </w:pPr>
            <w:r>
              <w:rPr>
                <w:sz w:val="18"/>
                <w:szCs w:val="18"/>
              </w:rPr>
              <w:t xml:space="preserve"> 38.22 </w:t>
            </w:r>
          </w:p>
        </w:tc>
        <w:tc>
          <w:tcPr>
            <w:tcW w:w="914" w:type="dxa"/>
          </w:tcPr>
          <w:p w14:paraId="5446420E">
            <w:pPr>
              <w:rPr>
                <w:rFonts w:cstheme="minorHAnsi"/>
                <w:sz w:val="18"/>
                <w:szCs w:val="18"/>
              </w:rPr>
            </w:pPr>
            <w:r>
              <w:rPr>
                <w:sz w:val="18"/>
                <w:szCs w:val="18"/>
              </w:rPr>
              <w:t xml:space="preserve"> 41.37 </w:t>
            </w:r>
          </w:p>
        </w:tc>
        <w:tc>
          <w:tcPr>
            <w:tcW w:w="914" w:type="dxa"/>
          </w:tcPr>
          <w:p w14:paraId="266100EF">
            <w:pPr>
              <w:rPr>
                <w:rFonts w:cstheme="minorHAnsi"/>
                <w:sz w:val="18"/>
                <w:szCs w:val="18"/>
              </w:rPr>
            </w:pPr>
            <w:r>
              <w:rPr>
                <w:sz w:val="18"/>
                <w:szCs w:val="18"/>
              </w:rPr>
              <w:t xml:space="preserve"> 44.63 </w:t>
            </w:r>
          </w:p>
        </w:tc>
        <w:tc>
          <w:tcPr>
            <w:tcW w:w="914" w:type="dxa"/>
          </w:tcPr>
          <w:p w14:paraId="726D8F3D">
            <w:pPr>
              <w:rPr>
                <w:rFonts w:cstheme="minorHAnsi"/>
                <w:sz w:val="18"/>
                <w:szCs w:val="18"/>
              </w:rPr>
            </w:pPr>
            <w:r>
              <w:rPr>
                <w:sz w:val="18"/>
                <w:szCs w:val="18"/>
              </w:rPr>
              <w:t xml:space="preserve"> 48.02 </w:t>
            </w:r>
          </w:p>
        </w:tc>
        <w:tc>
          <w:tcPr>
            <w:tcW w:w="914" w:type="dxa"/>
          </w:tcPr>
          <w:p w14:paraId="701CFCC3">
            <w:pPr>
              <w:rPr>
                <w:rFonts w:cstheme="minorHAnsi"/>
                <w:sz w:val="18"/>
                <w:szCs w:val="18"/>
              </w:rPr>
            </w:pPr>
            <w:r>
              <w:rPr>
                <w:sz w:val="18"/>
                <w:szCs w:val="18"/>
              </w:rPr>
              <w:t xml:space="preserve"> 51.52 </w:t>
            </w:r>
          </w:p>
        </w:tc>
        <w:tc>
          <w:tcPr>
            <w:tcW w:w="914" w:type="dxa"/>
          </w:tcPr>
          <w:p w14:paraId="2319AA5F">
            <w:pPr>
              <w:rPr>
                <w:rFonts w:cstheme="minorHAnsi"/>
                <w:sz w:val="18"/>
                <w:szCs w:val="18"/>
              </w:rPr>
            </w:pPr>
            <w:r>
              <w:rPr>
                <w:sz w:val="18"/>
                <w:szCs w:val="18"/>
              </w:rPr>
              <w:t xml:space="preserve"> 55.15 </w:t>
            </w:r>
          </w:p>
        </w:tc>
        <w:tc>
          <w:tcPr>
            <w:tcW w:w="914" w:type="dxa"/>
          </w:tcPr>
          <w:p w14:paraId="2AA9B6C9">
            <w:pPr>
              <w:rPr>
                <w:rFonts w:cstheme="minorHAnsi"/>
                <w:sz w:val="18"/>
                <w:szCs w:val="18"/>
              </w:rPr>
            </w:pPr>
            <w:r>
              <w:rPr>
                <w:sz w:val="18"/>
                <w:szCs w:val="18"/>
              </w:rPr>
              <w:t xml:space="preserve"> 58.91 </w:t>
            </w:r>
          </w:p>
        </w:tc>
        <w:tc>
          <w:tcPr>
            <w:tcW w:w="914" w:type="dxa"/>
          </w:tcPr>
          <w:p w14:paraId="4BD6004E">
            <w:pPr>
              <w:rPr>
                <w:rFonts w:cstheme="minorHAnsi"/>
                <w:sz w:val="18"/>
                <w:szCs w:val="18"/>
              </w:rPr>
            </w:pPr>
            <w:r>
              <w:rPr>
                <w:sz w:val="18"/>
                <w:szCs w:val="18"/>
              </w:rPr>
              <w:t xml:space="preserve"> 62.81 </w:t>
            </w:r>
          </w:p>
        </w:tc>
        <w:tc>
          <w:tcPr>
            <w:tcW w:w="914" w:type="dxa"/>
          </w:tcPr>
          <w:p w14:paraId="6BD68E85">
            <w:pPr>
              <w:rPr>
                <w:rFonts w:cstheme="minorHAnsi"/>
                <w:sz w:val="18"/>
                <w:szCs w:val="18"/>
              </w:rPr>
            </w:pPr>
            <w:r>
              <w:rPr>
                <w:sz w:val="18"/>
                <w:szCs w:val="18"/>
              </w:rPr>
              <w:t xml:space="preserve"> 66.85 </w:t>
            </w:r>
          </w:p>
        </w:tc>
      </w:tr>
      <w:tr w14:paraId="0D7F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5" w:type="dxa"/>
            <w:vAlign w:val="center"/>
          </w:tcPr>
          <w:p w14:paraId="59D140DD">
            <w:pPr>
              <w:rPr>
                <w:rFonts w:cstheme="minorHAnsi"/>
                <w:sz w:val="18"/>
                <w:szCs w:val="18"/>
              </w:rPr>
            </w:pPr>
            <w:r>
              <w:rPr>
                <w:rFonts w:cstheme="minorHAnsi"/>
                <w:sz w:val="18"/>
                <w:szCs w:val="18"/>
              </w:rPr>
              <w:t>3</w:t>
            </w:r>
          </w:p>
        </w:tc>
        <w:tc>
          <w:tcPr>
            <w:tcW w:w="1038" w:type="dxa"/>
            <w:vAlign w:val="center"/>
          </w:tcPr>
          <w:p w14:paraId="4BB2423D">
            <w:pPr>
              <w:rPr>
                <w:rFonts w:cstheme="minorHAnsi"/>
                <w:sz w:val="18"/>
                <w:szCs w:val="18"/>
              </w:rPr>
            </w:pPr>
            <w:r>
              <w:rPr>
                <w:rFonts w:cstheme="minorHAnsi"/>
                <w:sz w:val="18"/>
                <w:szCs w:val="18"/>
              </w:rPr>
              <w:t>所得税前净现金流</w:t>
            </w:r>
          </w:p>
        </w:tc>
        <w:tc>
          <w:tcPr>
            <w:tcW w:w="973" w:type="dxa"/>
          </w:tcPr>
          <w:p w14:paraId="10A403D7">
            <w:pPr>
              <w:rPr>
                <w:rFonts w:cstheme="minorHAnsi"/>
                <w:sz w:val="18"/>
                <w:szCs w:val="18"/>
              </w:rPr>
            </w:pPr>
            <w:r>
              <w:rPr>
                <w:sz w:val="18"/>
                <w:szCs w:val="18"/>
              </w:rPr>
              <w:t xml:space="preserve"> 650.80 </w:t>
            </w:r>
          </w:p>
        </w:tc>
        <w:tc>
          <w:tcPr>
            <w:tcW w:w="858" w:type="dxa"/>
          </w:tcPr>
          <w:p w14:paraId="7F34153C">
            <w:pPr>
              <w:rPr>
                <w:rFonts w:cstheme="minorHAnsi"/>
                <w:sz w:val="18"/>
                <w:szCs w:val="18"/>
              </w:rPr>
            </w:pPr>
            <w:r>
              <w:rPr>
                <w:sz w:val="18"/>
                <w:szCs w:val="18"/>
              </w:rPr>
              <w:t xml:space="preserve"> 650.80 </w:t>
            </w:r>
          </w:p>
        </w:tc>
        <w:tc>
          <w:tcPr>
            <w:tcW w:w="858" w:type="dxa"/>
          </w:tcPr>
          <w:p w14:paraId="0C1F9F9A">
            <w:pPr>
              <w:rPr>
                <w:rFonts w:cstheme="minorHAnsi"/>
                <w:sz w:val="18"/>
                <w:szCs w:val="18"/>
              </w:rPr>
            </w:pPr>
            <w:r>
              <w:rPr>
                <w:sz w:val="18"/>
                <w:szCs w:val="18"/>
              </w:rPr>
              <w:t xml:space="preserve"> 650.80 </w:t>
            </w:r>
          </w:p>
        </w:tc>
        <w:tc>
          <w:tcPr>
            <w:tcW w:w="914" w:type="dxa"/>
          </w:tcPr>
          <w:p w14:paraId="343A93B7">
            <w:pPr>
              <w:rPr>
                <w:rFonts w:cstheme="minorHAnsi"/>
                <w:sz w:val="18"/>
                <w:szCs w:val="18"/>
              </w:rPr>
            </w:pPr>
            <w:r>
              <w:rPr>
                <w:sz w:val="18"/>
                <w:szCs w:val="18"/>
              </w:rPr>
              <w:t xml:space="preserve"> 650.80 </w:t>
            </w:r>
          </w:p>
        </w:tc>
        <w:tc>
          <w:tcPr>
            <w:tcW w:w="914" w:type="dxa"/>
          </w:tcPr>
          <w:p w14:paraId="464192DF">
            <w:pPr>
              <w:rPr>
                <w:rFonts w:cstheme="minorHAnsi"/>
                <w:sz w:val="18"/>
                <w:szCs w:val="18"/>
              </w:rPr>
            </w:pPr>
            <w:r>
              <w:rPr>
                <w:sz w:val="18"/>
                <w:szCs w:val="18"/>
              </w:rPr>
              <w:t xml:space="preserve"> 650.80 </w:t>
            </w:r>
          </w:p>
        </w:tc>
        <w:tc>
          <w:tcPr>
            <w:tcW w:w="914" w:type="dxa"/>
          </w:tcPr>
          <w:p w14:paraId="5CAC421D">
            <w:pPr>
              <w:rPr>
                <w:rFonts w:cstheme="minorHAnsi"/>
                <w:sz w:val="18"/>
                <w:szCs w:val="18"/>
              </w:rPr>
            </w:pPr>
            <w:r>
              <w:rPr>
                <w:sz w:val="18"/>
                <w:szCs w:val="18"/>
              </w:rPr>
              <w:t xml:space="preserve"> 650.80 </w:t>
            </w:r>
          </w:p>
        </w:tc>
        <w:tc>
          <w:tcPr>
            <w:tcW w:w="914" w:type="dxa"/>
          </w:tcPr>
          <w:p w14:paraId="577128DA">
            <w:pPr>
              <w:rPr>
                <w:rFonts w:cstheme="minorHAnsi"/>
                <w:sz w:val="18"/>
                <w:szCs w:val="18"/>
              </w:rPr>
            </w:pPr>
            <w:r>
              <w:rPr>
                <w:sz w:val="18"/>
                <w:szCs w:val="18"/>
              </w:rPr>
              <w:t xml:space="preserve"> 650.80 </w:t>
            </w:r>
          </w:p>
        </w:tc>
        <w:tc>
          <w:tcPr>
            <w:tcW w:w="914" w:type="dxa"/>
          </w:tcPr>
          <w:p w14:paraId="2B3916A0">
            <w:pPr>
              <w:rPr>
                <w:rFonts w:cstheme="minorHAnsi"/>
                <w:sz w:val="18"/>
                <w:szCs w:val="18"/>
              </w:rPr>
            </w:pPr>
            <w:r>
              <w:rPr>
                <w:sz w:val="18"/>
                <w:szCs w:val="18"/>
              </w:rPr>
              <w:t xml:space="preserve"> 650.80 </w:t>
            </w:r>
          </w:p>
        </w:tc>
        <w:tc>
          <w:tcPr>
            <w:tcW w:w="914" w:type="dxa"/>
          </w:tcPr>
          <w:p w14:paraId="4825D363">
            <w:pPr>
              <w:rPr>
                <w:rFonts w:cstheme="minorHAnsi"/>
                <w:sz w:val="18"/>
                <w:szCs w:val="18"/>
              </w:rPr>
            </w:pPr>
            <w:r>
              <w:rPr>
                <w:sz w:val="18"/>
                <w:szCs w:val="18"/>
              </w:rPr>
              <w:t xml:space="preserve"> 650.80 </w:t>
            </w:r>
          </w:p>
        </w:tc>
        <w:tc>
          <w:tcPr>
            <w:tcW w:w="914" w:type="dxa"/>
          </w:tcPr>
          <w:p w14:paraId="6E2B5FF1">
            <w:pPr>
              <w:rPr>
                <w:rFonts w:cstheme="minorHAnsi"/>
                <w:sz w:val="18"/>
                <w:szCs w:val="18"/>
              </w:rPr>
            </w:pPr>
            <w:r>
              <w:rPr>
                <w:sz w:val="18"/>
                <w:szCs w:val="18"/>
              </w:rPr>
              <w:t xml:space="preserve"> 650.80 </w:t>
            </w:r>
          </w:p>
        </w:tc>
        <w:tc>
          <w:tcPr>
            <w:tcW w:w="914" w:type="dxa"/>
          </w:tcPr>
          <w:p w14:paraId="110C9EBC">
            <w:pPr>
              <w:rPr>
                <w:rFonts w:cstheme="minorHAnsi"/>
                <w:sz w:val="18"/>
                <w:szCs w:val="18"/>
              </w:rPr>
            </w:pPr>
            <w:r>
              <w:rPr>
                <w:sz w:val="18"/>
                <w:szCs w:val="18"/>
              </w:rPr>
              <w:t xml:space="preserve"> 650.80 </w:t>
            </w:r>
          </w:p>
        </w:tc>
        <w:tc>
          <w:tcPr>
            <w:tcW w:w="914" w:type="dxa"/>
          </w:tcPr>
          <w:p w14:paraId="2C324147">
            <w:pPr>
              <w:rPr>
                <w:rFonts w:cstheme="minorHAnsi"/>
                <w:sz w:val="18"/>
                <w:szCs w:val="18"/>
              </w:rPr>
            </w:pPr>
            <w:r>
              <w:rPr>
                <w:sz w:val="18"/>
                <w:szCs w:val="18"/>
              </w:rPr>
              <w:t xml:space="preserve"> 650.80 </w:t>
            </w:r>
          </w:p>
        </w:tc>
        <w:tc>
          <w:tcPr>
            <w:tcW w:w="914" w:type="dxa"/>
          </w:tcPr>
          <w:p w14:paraId="1EFF165D">
            <w:pPr>
              <w:rPr>
                <w:rFonts w:cstheme="minorHAnsi"/>
                <w:sz w:val="18"/>
                <w:szCs w:val="18"/>
              </w:rPr>
            </w:pPr>
            <w:r>
              <w:rPr>
                <w:sz w:val="18"/>
                <w:szCs w:val="18"/>
              </w:rPr>
              <w:t xml:space="preserve"> 591.88 </w:t>
            </w:r>
          </w:p>
        </w:tc>
        <w:tc>
          <w:tcPr>
            <w:tcW w:w="914" w:type="dxa"/>
          </w:tcPr>
          <w:p w14:paraId="3B09B1E5">
            <w:pPr>
              <w:rPr>
                <w:rFonts w:cstheme="minorHAnsi"/>
                <w:sz w:val="18"/>
                <w:szCs w:val="18"/>
              </w:rPr>
            </w:pPr>
            <w:r>
              <w:rPr>
                <w:sz w:val="18"/>
                <w:szCs w:val="18"/>
              </w:rPr>
              <w:t xml:space="preserve"> 587.99 </w:t>
            </w:r>
          </w:p>
        </w:tc>
        <w:tc>
          <w:tcPr>
            <w:tcW w:w="914" w:type="dxa"/>
          </w:tcPr>
          <w:p w14:paraId="7DFA7C4C">
            <w:pPr>
              <w:rPr>
                <w:rFonts w:cstheme="minorHAnsi"/>
                <w:sz w:val="18"/>
                <w:szCs w:val="18"/>
              </w:rPr>
            </w:pPr>
            <w:r>
              <w:rPr>
                <w:sz w:val="18"/>
                <w:szCs w:val="18"/>
              </w:rPr>
              <w:t xml:space="preserve"> 583.95 </w:t>
            </w:r>
          </w:p>
        </w:tc>
      </w:tr>
      <w:tr w14:paraId="2DAA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75" w:type="dxa"/>
            <w:vAlign w:val="center"/>
          </w:tcPr>
          <w:p w14:paraId="6DC046FF">
            <w:pPr>
              <w:rPr>
                <w:rFonts w:cstheme="minorHAnsi"/>
                <w:sz w:val="18"/>
                <w:szCs w:val="18"/>
              </w:rPr>
            </w:pPr>
            <w:r>
              <w:rPr>
                <w:rFonts w:cstheme="minorHAnsi"/>
                <w:sz w:val="18"/>
                <w:szCs w:val="18"/>
              </w:rPr>
              <w:t>4</w:t>
            </w:r>
          </w:p>
        </w:tc>
        <w:tc>
          <w:tcPr>
            <w:tcW w:w="1038" w:type="dxa"/>
            <w:vAlign w:val="center"/>
          </w:tcPr>
          <w:p w14:paraId="04708F30">
            <w:pPr>
              <w:rPr>
                <w:rFonts w:cstheme="minorHAnsi"/>
                <w:sz w:val="18"/>
                <w:szCs w:val="18"/>
              </w:rPr>
            </w:pPr>
            <w:r>
              <w:rPr>
                <w:rFonts w:cstheme="minorHAnsi"/>
                <w:sz w:val="18"/>
                <w:szCs w:val="18"/>
              </w:rPr>
              <w:t>累计所得税前净现金流</w:t>
            </w:r>
          </w:p>
        </w:tc>
        <w:tc>
          <w:tcPr>
            <w:tcW w:w="973" w:type="dxa"/>
          </w:tcPr>
          <w:p w14:paraId="6D31E34D">
            <w:pPr>
              <w:jc w:val="center"/>
              <w:rPr>
                <w:rFonts w:cstheme="minorHAnsi"/>
                <w:sz w:val="18"/>
                <w:szCs w:val="18"/>
              </w:rPr>
            </w:pPr>
            <w:r>
              <w:rPr>
                <w:sz w:val="18"/>
                <w:szCs w:val="18"/>
              </w:rPr>
              <w:t xml:space="preserve"> -587.24 </w:t>
            </w:r>
          </w:p>
        </w:tc>
        <w:tc>
          <w:tcPr>
            <w:tcW w:w="858" w:type="dxa"/>
          </w:tcPr>
          <w:p w14:paraId="2DE9EA06">
            <w:pPr>
              <w:jc w:val="center"/>
              <w:rPr>
                <w:rFonts w:cstheme="minorHAnsi"/>
                <w:sz w:val="18"/>
                <w:szCs w:val="18"/>
              </w:rPr>
            </w:pPr>
            <w:r>
              <w:rPr>
                <w:sz w:val="18"/>
                <w:szCs w:val="18"/>
              </w:rPr>
              <w:t xml:space="preserve"> 63.55 </w:t>
            </w:r>
          </w:p>
        </w:tc>
        <w:tc>
          <w:tcPr>
            <w:tcW w:w="858" w:type="dxa"/>
          </w:tcPr>
          <w:p w14:paraId="01C3B523">
            <w:pPr>
              <w:jc w:val="center"/>
              <w:rPr>
                <w:rFonts w:cstheme="minorHAnsi"/>
                <w:sz w:val="18"/>
                <w:szCs w:val="18"/>
              </w:rPr>
            </w:pPr>
            <w:r>
              <w:rPr>
                <w:sz w:val="18"/>
                <w:szCs w:val="18"/>
              </w:rPr>
              <w:t xml:space="preserve"> 714.35 </w:t>
            </w:r>
          </w:p>
        </w:tc>
        <w:tc>
          <w:tcPr>
            <w:tcW w:w="914" w:type="dxa"/>
          </w:tcPr>
          <w:p w14:paraId="4C08A1BB">
            <w:pPr>
              <w:jc w:val="center"/>
              <w:rPr>
                <w:rFonts w:cstheme="minorHAnsi"/>
                <w:sz w:val="18"/>
                <w:szCs w:val="18"/>
              </w:rPr>
            </w:pPr>
            <w:r>
              <w:rPr>
                <w:sz w:val="18"/>
                <w:szCs w:val="18"/>
              </w:rPr>
              <w:t xml:space="preserve"> 1,365.15 </w:t>
            </w:r>
          </w:p>
        </w:tc>
        <w:tc>
          <w:tcPr>
            <w:tcW w:w="914" w:type="dxa"/>
          </w:tcPr>
          <w:p w14:paraId="02316E9D">
            <w:pPr>
              <w:jc w:val="center"/>
              <w:rPr>
                <w:rFonts w:cstheme="minorHAnsi"/>
                <w:sz w:val="18"/>
                <w:szCs w:val="18"/>
              </w:rPr>
            </w:pPr>
            <w:r>
              <w:rPr>
                <w:sz w:val="18"/>
                <w:szCs w:val="18"/>
              </w:rPr>
              <w:t xml:space="preserve"> 2,015.94 </w:t>
            </w:r>
          </w:p>
        </w:tc>
        <w:tc>
          <w:tcPr>
            <w:tcW w:w="914" w:type="dxa"/>
          </w:tcPr>
          <w:p w14:paraId="3D6D21D3">
            <w:pPr>
              <w:jc w:val="center"/>
              <w:rPr>
                <w:rFonts w:cstheme="minorHAnsi"/>
                <w:sz w:val="18"/>
                <w:szCs w:val="18"/>
              </w:rPr>
            </w:pPr>
            <w:r>
              <w:rPr>
                <w:sz w:val="18"/>
                <w:szCs w:val="18"/>
              </w:rPr>
              <w:t xml:space="preserve"> 2,666.74 </w:t>
            </w:r>
          </w:p>
        </w:tc>
        <w:tc>
          <w:tcPr>
            <w:tcW w:w="914" w:type="dxa"/>
          </w:tcPr>
          <w:p w14:paraId="1EB77C9D">
            <w:pPr>
              <w:jc w:val="center"/>
              <w:rPr>
                <w:rFonts w:cstheme="minorHAnsi"/>
                <w:sz w:val="18"/>
                <w:szCs w:val="18"/>
              </w:rPr>
            </w:pPr>
            <w:r>
              <w:rPr>
                <w:sz w:val="18"/>
                <w:szCs w:val="18"/>
              </w:rPr>
              <w:t xml:space="preserve"> 3,317.54 </w:t>
            </w:r>
          </w:p>
        </w:tc>
        <w:tc>
          <w:tcPr>
            <w:tcW w:w="914" w:type="dxa"/>
          </w:tcPr>
          <w:p w14:paraId="00345F2B">
            <w:pPr>
              <w:jc w:val="center"/>
              <w:rPr>
                <w:rFonts w:cstheme="minorHAnsi"/>
                <w:sz w:val="18"/>
                <w:szCs w:val="18"/>
              </w:rPr>
            </w:pPr>
            <w:r>
              <w:rPr>
                <w:sz w:val="18"/>
                <w:szCs w:val="18"/>
              </w:rPr>
              <w:t xml:space="preserve"> 3,968.34 </w:t>
            </w:r>
          </w:p>
        </w:tc>
        <w:tc>
          <w:tcPr>
            <w:tcW w:w="914" w:type="dxa"/>
          </w:tcPr>
          <w:p w14:paraId="743396B6">
            <w:pPr>
              <w:jc w:val="center"/>
              <w:rPr>
                <w:rFonts w:cstheme="minorHAnsi"/>
                <w:sz w:val="18"/>
                <w:szCs w:val="18"/>
              </w:rPr>
            </w:pPr>
            <w:r>
              <w:rPr>
                <w:sz w:val="18"/>
                <w:szCs w:val="18"/>
              </w:rPr>
              <w:t xml:space="preserve"> 4,619.13 </w:t>
            </w:r>
          </w:p>
        </w:tc>
        <w:tc>
          <w:tcPr>
            <w:tcW w:w="914" w:type="dxa"/>
          </w:tcPr>
          <w:p w14:paraId="7A29B6C1">
            <w:pPr>
              <w:jc w:val="center"/>
              <w:rPr>
                <w:rFonts w:cstheme="minorHAnsi"/>
                <w:sz w:val="18"/>
                <w:szCs w:val="18"/>
              </w:rPr>
            </w:pPr>
            <w:r>
              <w:rPr>
                <w:sz w:val="18"/>
                <w:szCs w:val="18"/>
              </w:rPr>
              <w:t xml:space="preserve"> 5,269.93 </w:t>
            </w:r>
          </w:p>
        </w:tc>
        <w:tc>
          <w:tcPr>
            <w:tcW w:w="914" w:type="dxa"/>
          </w:tcPr>
          <w:p w14:paraId="2D551542">
            <w:pPr>
              <w:jc w:val="center"/>
              <w:rPr>
                <w:rFonts w:cstheme="minorHAnsi"/>
                <w:sz w:val="18"/>
                <w:szCs w:val="18"/>
              </w:rPr>
            </w:pPr>
            <w:r>
              <w:rPr>
                <w:sz w:val="18"/>
                <w:szCs w:val="18"/>
              </w:rPr>
              <w:t xml:space="preserve"> 5,920.73 </w:t>
            </w:r>
          </w:p>
        </w:tc>
        <w:tc>
          <w:tcPr>
            <w:tcW w:w="914" w:type="dxa"/>
          </w:tcPr>
          <w:p w14:paraId="341D444B">
            <w:pPr>
              <w:jc w:val="center"/>
              <w:rPr>
                <w:rFonts w:cstheme="minorHAnsi"/>
                <w:sz w:val="18"/>
                <w:szCs w:val="18"/>
              </w:rPr>
            </w:pPr>
            <w:r>
              <w:rPr>
                <w:sz w:val="18"/>
                <w:szCs w:val="18"/>
              </w:rPr>
              <w:t xml:space="preserve"> 6,571.52 </w:t>
            </w:r>
          </w:p>
        </w:tc>
        <w:tc>
          <w:tcPr>
            <w:tcW w:w="914" w:type="dxa"/>
          </w:tcPr>
          <w:p w14:paraId="61D1B761">
            <w:pPr>
              <w:jc w:val="center"/>
              <w:rPr>
                <w:rFonts w:cstheme="minorHAnsi"/>
                <w:sz w:val="18"/>
                <w:szCs w:val="18"/>
              </w:rPr>
            </w:pPr>
            <w:r>
              <w:rPr>
                <w:sz w:val="18"/>
                <w:szCs w:val="18"/>
              </w:rPr>
              <w:t xml:space="preserve"> 7,163.41 </w:t>
            </w:r>
          </w:p>
        </w:tc>
        <w:tc>
          <w:tcPr>
            <w:tcW w:w="914" w:type="dxa"/>
          </w:tcPr>
          <w:p w14:paraId="4574DEAD">
            <w:pPr>
              <w:jc w:val="center"/>
              <w:rPr>
                <w:rFonts w:cstheme="minorHAnsi"/>
                <w:sz w:val="18"/>
                <w:szCs w:val="18"/>
              </w:rPr>
            </w:pPr>
            <w:r>
              <w:rPr>
                <w:sz w:val="18"/>
                <w:szCs w:val="18"/>
              </w:rPr>
              <w:t xml:space="preserve"> 7,751.39 </w:t>
            </w:r>
          </w:p>
        </w:tc>
        <w:tc>
          <w:tcPr>
            <w:tcW w:w="914" w:type="dxa"/>
          </w:tcPr>
          <w:p w14:paraId="2F8F75E7">
            <w:pPr>
              <w:jc w:val="center"/>
              <w:rPr>
                <w:rFonts w:cstheme="minorHAnsi"/>
                <w:sz w:val="18"/>
                <w:szCs w:val="18"/>
              </w:rPr>
            </w:pPr>
            <w:r>
              <w:rPr>
                <w:sz w:val="18"/>
                <w:szCs w:val="18"/>
              </w:rPr>
              <w:t xml:space="preserve"> 8,335.34 </w:t>
            </w:r>
          </w:p>
        </w:tc>
      </w:tr>
      <w:tr w14:paraId="5B37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5" w:type="dxa"/>
            <w:vAlign w:val="center"/>
          </w:tcPr>
          <w:p w14:paraId="13D3B39E">
            <w:pPr>
              <w:rPr>
                <w:rFonts w:cstheme="minorHAnsi"/>
                <w:sz w:val="18"/>
                <w:szCs w:val="18"/>
              </w:rPr>
            </w:pPr>
            <w:r>
              <w:rPr>
                <w:rFonts w:cstheme="minorHAnsi"/>
                <w:sz w:val="18"/>
                <w:szCs w:val="18"/>
              </w:rPr>
              <w:t>5</w:t>
            </w:r>
          </w:p>
        </w:tc>
        <w:tc>
          <w:tcPr>
            <w:tcW w:w="1038" w:type="dxa"/>
            <w:vAlign w:val="center"/>
          </w:tcPr>
          <w:p w14:paraId="3B9E63FA">
            <w:pPr>
              <w:rPr>
                <w:rFonts w:cstheme="minorHAnsi"/>
                <w:sz w:val="18"/>
                <w:szCs w:val="18"/>
              </w:rPr>
            </w:pPr>
            <w:r>
              <w:rPr>
                <w:rFonts w:cstheme="minorHAnsi"/>
                <w:sz w:val="18"/>
                <w:szCs w:val="18"/>
              </w:rPr>
              <w:t>调整所得税</w:t>
            </w:r>
          </w:p>
        </w:tc>
        <w:tc>
          <w:tcPr>
            <w:tcW w:w="973" w:type="dxa"/>
          </w:tcPr>
          <w:p w14:paraId="466E54C6">
            <w:pPr>
              <w:jc w:val="center"/>
              <w:rPr>
                <w:rFonts w:cstheme="minorHAnsi"/>
                <w:sz w:val="18"/>
                <w:szCs w:val="18"/>
              </w:rPr>
            </w:pPr>
            <w:r>
              <w:rPr>
                <w:sz w:val="18"/>
                <w:szCs w:val="18"/>
              </w:rPr>
              <w:t xml:space="preserve"> 71.03 </w:t>
            </w:r>
          </w:p>
        </w:tc>
        <w:tc>
          <w:tcPr>
            <w:tcW w:w="858" w:type="dxa"/>
          </w:tcPr>
          <w:p w14:paraId="11B6F970">
            <w:pPr>
              <w:jc w:val="center"/>
              <w:rPr>
                <w:rFonts w:cstheme="minorHAnsi"/>
                <w:sz w:val="18"/>
                <w:szCs w:val="18"/>
              </w:rPr>
            </w:pPr>
            <w:r>
              <w:rPr>
                <w:sz w:val="18"/>
                <w:szCs w:val="18"/>
              </w:rPr>
              <w:t xml:space="preserve"> 71.03 </w:t>
            </w:r>
          </w:p>
        </w:tc>
        <w:tc>
          <w:tcPr>
            <w:tcW w:w="858" w:type="dxa"/>
          </w:tcPr>
          <w:p w14:paraId="338BF86F">
            <w:pPr>
              <w:jc w:val="center"/>
              <w:rPr>
                <w:rFonts w:cstheme="minorHAnsi"/>
                <w:sz w:val="18"/>
                <w:szCs w:val="18"/>
              </w:rPr>
            </w:pPr>
            <w:r>
              <w:rPr>
                <w:sz w:val="18"/>
                <w:szCs w:val="18"/>
              </w:rPr>
              <w:t xml:space="preserve"> 71.03 </w:t>
            </w:r>
          </w:p>
        </w:tc>
        <w:tc>
          <w:tcPr>
            <w:tcW w:w="914" w:type="dxa"/>
          </w:tcPr>
          <w:p w14:paraId="1BC67D63">
            <w:pPr>
              <w:jc w:val="center"/>
              <w:rPr>
                <w:rFonts w:cstheme="minorHAnsi"/>
                <w:sz w:val="18"/>
                <w:szCs w:val="18"/>
              </w:rPr>
            </w:pPr>
            <w:r>
              <w:rPr>
                <w:sz w:val="18"/>
                <w:szCs w:val="18"/>
              </w:rPr>
              <w:t xml:space="preserve"> 71.03 </w:t>
            </w:r>
          </w:p>
        </w:tc>
        <w:tc>
          <w:tcPr>
            <w:tcW w:w="914" w:type="dxa"/>
          </w:tcPr>
          <w:p w14:paraId="28C5083F">
            <w:pPr>
              <w:jc w:val="center"/>
              <w:rPr>
                <w:rFonts w:cstheme="minorHAnsi"/>
                <w:sz w:val="18"/>
                <w:szCs w:val="18"/>
              </w:rPr>
            </w:pPr>
            <w:r>
              <w:rPr>
                <w:sz w:val="18"/>
                <w:szCs w:val="18"/>
              </w:rPr>
              <w:t xml:space="preserve"> 71.03 </w:t>
            </w:r>
          </w:p>
        </w:tc>
        <w:tc>
          <w:tcPr>
            <w:tcW w:w="914" w:type="dxa"/>
          </w:tcPr>
          <w:p w14:paraId="29DA2517">
            <w:pPr>
              <w:jc w:val="center"/>
              <w:rPr>
                <w:rFonts w:cstheme="minorHAnsi"/>
                <w:sz w:val="18"/>
                <w:szCs w:val="18"/>
              </w:rPr>
            </w:pPr>
            <w:r>
              <w:rPr>
                <w:sz w:val="18"/>
                <w:szCs w:val="18"/>
              </w:rPr>
              <w:t xml:space="preserve"> 71.03 </w:t>
            </w:r>
          </w:p>
        </w:tc>
        <w:tc>
          <w:tcPr>
            <w:tcW w:w="914" w:type="dxa"/>
          </w:tcPr>
          <w:p w14:paraId="30CDB2C8">
            <w:pPr>
              <w:jc w:val="center"/>
              <w:rPr>
                <w:rFonts w:cstheme="minorHAnsi"/>
                <w:sz w:val="18"/>
                <w:szCs w:val="18"/>
              </w:rPr>
            </w:pPr>
            <w:r>
              <w:rPr>
                <w:sz w:val="18"/>
                <w:szCs w:val="18"/>
              </w:rPr>
              <w:t xml:space="preserve"> 71.03 </w:t>
            </w:r>
          </w:p>
        </w:tc>
        <w:tc>
          <w:tcPr>
            <w:tcW w:w="914" w:type="dxa"/>
          </w:tcPr>
          <w:p w14:paraId="5E506AD0">
            <w:pPr>
              <w:jc w:val="center"/>
              <w:rPr>
                <w:rFonts w:cstheme="minorHAnsi"/>
                <w:sz w:val="18"/>
                <w:szCs w:val="18"/>
              </w:rPr>
            </w:pPr>
            <w:r>
              <w:rPr>
                <w:sz w:val="18"/>
                <w:szCs w:val="18"/>
              </w:rPr>
              <w:t xml:space="preserve"> 71.03 </w:t>
            </w:r>
          </w:p>
        </w:tc>
        <w:tc>
          <w:tcPr>
            <w:tcW w:w="914" w:type="dxa"/>
          </w:tcPr>
          <w:p w14:paraId="4E1E8454">
            <w:pPr>
              <w:jc w:val="center"/>
              <w:rPr>
                <w:rFonts w:cstheme="minorHAnsi"/>
                <w:sz w:val="18"/>
                <w:szCs w:val="18"/>
              </w:rPr>
            </w:pPr>
            <w:r>
              <w:rPr>
                <w:sz w:val="18"/>
                <w:szCs w:val="18"/>
              </w:rPr>
              <w:t xml:space="preserve"> 71.03 </w:t>
            </w:r>
          </w:p>
        </w:tc>
        <w:tc>
          <w:tcPr>
            <w:tcW w:w="914" w:type="dxa"/>
          </w:tcPr>
          <w:p w14:paraId="03C77165">
            <w:pPr>
              <w:jc w:val="center"/>
              <w:rPr>
                <w:rFonts w:cstheme="minorHAnsi"/>
                <w:sz w:val="18"/>
                <w:szCs w:val="18"/>
              </w:rPr>
            </w:pPr>
            <w:r>
              <w:rPr>
                <w:sz w:val="18"/>
                <w:szCs w:val="18"/>
              </w:rPr>
              <w:t xml:space="preserve"> 71.03 </w:t>
            </w:r>
          </w:p>
        </w:tc>
        <w:tc>
          <w:tcPr>
            <w:tcW w:w="914" w:type="dxa"/>
          </w:tcPr>
          <w:p w14:paraId="1555F23B">
            <w:pPr>
              <w:jc w:val="center"/>
              <w:rPr>
                <w:rFonts w:cstheme="minorHAnsi"/>
                <w:sz w:val="18"/>
                <w:szCs w:val="18"/>
              </w:rPr>
            </w:pPr>
            <w:r>
              <w:rPr>
                <w:sz w:val="18"/>
                <w:szCs w:val="18"/>
              </w:rPr>
              <w:t xml:space="preserve"> 71.03 </w:t>
            </w:r>
          </w:p>
        </w:tc>
        <w:tc>
          <w:tcPr>
            <w:tcW w:w="914" w:type="dxa"/>
          </w:tcPr>
          <w:p w14:paraId="1D3A804D">
            <w:pPr>
              <w:jc w:val="center"/>
              <w:rPr>
                <w:rFonts w:cstheme="minorHAnsi"/>
                <w:sz w:val="18"/>
                <w:szCs w:val="18"/>
              </w:rPr>
            </w:pPr>
            <w:r>
              <w:rPr>
                <w:sz w:val="18"/>
                <w:szCs w:val="18"/>
              </w:rPr>
              <w:t xml:space="preserve"> 71.03 </w:t>
            </w:r>
          </w:p>
        </w:tc>
        <w:tc>
          <w:tcPr>
            <w:tcW w:w="914" w:type="dxa"/>
          </w:tcPr>
          <w:p w14:paraId="6858CCA8">
            <w:pPr>
              <w:jc w:val="center"/>
              <w:rPr>
                <w:rFonts w:cstheme="minorHAnsi"/>
                <w:sz w:val="18"/>
                <w:szCs w:val="18"/>
              </w:rPr>
            </w:pPr>
            <w:r>
              <w:rPr>
                <w:sz w:val="18"/>
                <w:szCs w:val="18"/>
              </w:rPr>
              <w:t xml:space="preserve"> 71.03 </w:t>
            </w:r>
          </w:p>
        </w:tc>
        <w:tc>
          <w:tcPr>
            <w:tcW w:w="914" w:type="dxa"/>
          </w:tcPr>
          <w:p w14:paraId="31B03C32">
            <w:pPr>
              <w:jc w:val="center"/>
              <w:rPr>
                <w:rFonts w:cstheme="minorHAnsi"/>
                <w:sz w:val="18"/>
                <w:szCs w:val="18"/>
              </w:rPr>
            </w:pPr>
            <w:r>
              <w:rPr>
                <w:sz w:val="18"/>
                <w:szCs w:val="18"/>
              </w:rPr>
              <w:t xml:space="preserve"> 71.03 </w:t>
            </w:r>
          </w:p>
        </w:tc>
        <w:tc>
          <w:tcPr>
            <w:tcW w:w="914" w:type="dxa"/>
          </w:tcPr>
          <w:p w14:paraId="51022AF8">
            <w:pPr>
              <w:jc w:val="center"/>
              <w:rPr>
                <w:rFonts w:cstheme="minorHAnsi"/>
                <w:sz w:val="18"/>
                <w:szCs w:val="18"/>
              </w:rPr>
            </w:pPr>
            <w:r>
              <w:rPr>
                <w:sz w:val="18"/>
                <w:szCs w:val="18"/>
              </w:rPr>
              <w:t xml:space="preserve"> 71.03 </w:t>
            </w:r>
          </w:p>
        </w:tc>
      </w:tr>
      <w:tr w14:paraId="4A7C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75" w:type="dxa"/>
            <w:vAlign w:val="center"/>
          </w:tcPr>
          <w:p w14:paraId="766B067D">
            <w:pPr>
              <w:rPr>
                <w:rFonts w:cstheme="minorHAnsi"/>
                <w:sz w:val="18"/>
                <w:szCs w:val="18"/>
              </w:rPr>
            </w:pPr>
            <w:r>
              <w:rPr>
                <w:rFonts w:cstheme="minorHAnsi"/>
                <w:sz w:val="18"/>
                <w:szCs w:val="18"/>
              </w:rPr>
              <w:t>6</w:t>
            </w:r>
          </w:p>
        </w:tc>
        <w:tc>
          <w:tcPr>
            <w:tcW w:w="1038" w:type="dxa"/>
            <w:vAlign w:val="center"/>
          </w:tcPr>
          <w:p w14:paraId="02E4DA7B">
            <w:pPr>
              <w:rPr>
                <w:rFonts w:cstheme="minorHAnsi"/>
                <w:sz w:val="18"/>
                <w:szCs w:val="18"/>
              </w:rPr>
            </w:pPr>
            <w:r>
              <w:rPr>
                <w:rFonts w:cstheme="minorHAnsi"/>
                <w:sz w:val="18"/>
                <w:szCs w:val="18"/>
              </w:rPr>
              <w:t>所得税后净现金流</w:t>
            </w:r>
          </w:p>
        </w:tc>
        <w:tc>
          <w:tcPr>
            <w:tcW w:w="973" w:type="dxa"/>
          </w:tcPr>
          <w:p w14:paraId="209E57E8">
            <w:pPr>
              <w:jc w:val="center"/>
              <w:rPr>
                <w:rFonts w:cstheme="minorHAnsi"/>
                <w:sz w:val="18"/>
                <w:szCs w:val="18"/>
              </w:rPr>
            </w:pPr>
            <w:r>
              <w:rPr>
                <w:sz w:val="18"/>
                <w:szCs w:val="18"/>
              </w:rPr>
              <w:t xml:space="preserve"> 579.76 </w:t>
            </w:r>
          </w:p>
        </w:tc>
        <w:tc>
          <w:tcPr>
            <w:tcW w:w="858" w:type="dxa"/>
          </w:tcPr>
          <w:p w14:paraId="759F3419">
            <w:pPr>
              <w:jc w:val="center"/>
              <w:rPr>
                <w:rFonts w:cstheme="minorHAnsi"/>
                <w:sz w:val="18"/>
                <w:szCs w:val="18"/>
              </w:rPr>
            </w:pPr>
            <w:r>
              <w:rPr>
                <w:sz w:val="18"/>
                <w:szCs w:val="18"/>
              </w:rPr>
              <w:t xml:space="preserve"> 579.76 </w:t>
            </w:r>
          </w:p>
        </w:tc>
        <w:tc>
          <w:tcPr>
            <w:tcW w:w="858" w:type="dxa"/>
          </w:tcPr>
          <w:p w14:paraId="779EAB99">
            <w:pPr>
              <w:jc w:val="center"/>
              <w:rPr>
                <w:rFonts w:cstheme="minorHAnsi"/>
                <w:sz w:val="18"/>
                <w:szCs w:val="18"/>
              </w:rPr>
            </w:pPr>
            <w:r>
              <w:rPr>
                <w:sz w:val="18"/>
                <w:szCs w:val="18"/>
              </w:rPr>
              <w:t xml:space="preserve"> 579.76 </w:t>
            </w:r>
          </w:p>
        </w:tc>
        <w:tc>
          <w:tcPr>
            <w:tcW w:w="914" w:type="dxa"/>
          </w:tcPr>
          <w:p w14:paraId="1D2A0AFD">
            <w:pPr>
              <w:jc w:val="center"/>
              <w:rPr>
                <w:rFonts w:cstheme="minorHAnsi"/>
                <w:sz w:val="18"/>
                <w:szCs w:val="18"/>
              </w:rPr>
            </w:pPr>
            <w:r>
              <w:rPr>
                <w:sz w:val="18"/>
                <w:szCs w:val="18"/>
              </w:rPr>
              <w:t xml:space="preserve"> 579.76 </w:t>
            </w:r>
          </w:p>
        </w:tc>
        <w:tc>
          <w:tcPr>
            <w:tcW w:w="914" w:type="dxa"/>
          </w:tcPr>
          <w:p w14:paraId="70F44FDE">
            <w:pPr>
              <w:jc w:val="center"/>
              <w:rPr>
                <w:rFonts w:cstheme="minorHAnsi"/>
                <w:sz w:val="18"/>
                <w:szCs w:val="18"/>
              </w:rPr>
            </w:pPr>
            <w:r>
              <w:rPr>
                <w:sz w:val="18"/>
                <w:szCs w:val="18"/>
              </w:rPr>
              <w:t xml:space="preserve"> 579.76 </w:t>
            </w:r>
          </w:p>
        </w:tc>
        <w:tc>
          <w:tcPr>
            <w:tcW w:w="914" w:type="dxa"/>
          </w:tcPr>
          <w:p w14:paraId="67A8EE2F">
            <w:pPr>
              <w:jc w:val="center"/>
              <w:rPr>
                <w:rFonts w:cstheme="minorHAnsi"/>
                <w:sz w:val="18"/>
                <w:szCs w:val="18"/>
              </w:rPr>
            </w:pPr>
            <w:r>
              <w:rPr>
                <w:sz w:val="18"/>
                <w:szCs w:val="18"/>
              </w:rPr>
              <w:t xml:space="preserve"> 579.76 </w:t>
            </w:r>
          </w:p>
        </w:tc>
        <w:tc>
          <w:tcPr>
            <w:tcW w:w="914" w:type="dxa"/>
          </w:tcPr>
          <w:p w14:paraId="56C668B3">
            <w:pPr>
              <w:jc w:val="center"/>
              <w:rPr>
                <w:rFonts w:cstheme="minorHAnsi"/>
                <w:sz w:val="18"/>
                <w:szCs w:val="18"/>
              </w:rPr>
            </w:pPr>
            <w:r>
              <w:rPr>
                <w:sz w:val="18"/>
                <w:szCs w:val="18"/>
              </w:rPr>
              <w:t xml:space="preserve"> 579.76 </w:t>
            </w:r>
          </w:p>
        </w:tc>
        <w:tc>
          <w:tcPr>
            <w:tcW w:w="914" w:type="dxa"/>
          </w:tcPr>
          <w:p w14:paraId="14AB7CE3">
            <w:pPr>
              <w:jc w:val="center"/>
              <w:rPr>
                <w:rFonts w:cstheme="minorHAnsi"/>
                <w:sz w:val="18"/>
                <w:szCs w:val="18"/>
              </w:rPr>
            </w:pPr>
            <w:r>
              <w:rPr>
                <w:sz w:val="18"/>
                <w:szCs w:val="18"/>
              </w:rPr>
              <w:t xml:space="preserve"> 579.76 </w:t>
            </w:r>
          </w:p>
        </w:tc>
        <w:tc>
          <w:tcPr>
            <w:tcW w:w="914" w:type="dxa"/>
          </w:tcPr>
          <w:p w14:paraId="11E2CC7C">
            <w:pPr>
              <w:jc w:val="center"/>
              <w:rPr>
                <w:rFonts w:cstheme="minorHAnsi"/>
                <w:sz w:val="18"/>
                <w:szCs w:val="18"/>
              </w:rPr>
            </w:pPr>
            <w:r>
              <w:rPr>
                <w:sz w:val="18"/>
                <w:szCs w:val="18"/>
              </w:rPr>
              <w:t xml:space="preserve"> 579.76 </w:t>
            </w:r>
          </w:p>
        </w:tc>
        <w:tc>
          <w:tcPr>
            <w:tcW w:w="914" w:type="dxa"/>
          </w:tcPr>
          <w:p w14:paraId="44CB777B">
            <w:pPr>
              <w:jc w:val="center"/>
              <w:rPr>
                <w:rFonts w:cstheme="minorHAnsi"/>
                <w:sz w:val="18"/>
                <w:szCs w:val="18"/>
              </w:rPr>
            </w:pPr>
            <w:r>
              <w:rPr>
                <w:sz w:val="18"/>
                <w:szCs w:val="18"/>
              </w:rPr>
              <w:t xml:space="preserve"> 579.76 </w:t>
            </w:r>
          </w:p>
        </w:tc>
        <w:tc>
          <w:tcPr>
            <w:tcW w:w="914" w:type="dxa"/>
          </w:tcPr>
          <w:p w14:paraId="4CB379A2">
            <w:pPr>
              <w:jc w:val="center"/>
              <w:rPr>
                <w:rFonts w:cstheme="minorHAnsi"/>
                <w:sz w:val="18"/>
                <w:szCs w:val="18"/>
              </w:rPr>
            </w:pPr>
            <w:r>
              <w:rPr>
                <w:sz w:val="18"/>
                <w:szCs w:val="18"/>
              </w:rPr>
              <w:t xml:space="preserve"> 579.76 </w:t>
            </w:r>
          </w:p>
        </w:tc>
        <w:tc>
          <w:tcPr>
            <w:tcW w:w="914" w:type="dxa"/>
          </w:tcPr>
          <w:p w14:paraId="1C4E0E6D">
            <w:pPr>
              <w:jc w:val="center"/>
              <w:rPr>
                <w:rFonts w:cstheme="minorHAnsi"/>
                <w:sz w:val="18"/>
                <w:szCs w:val="18"/>
              </w:rPr>
            </w:pPr>
            <w:r>
              <w:rPr>
                <w:sz w:val="18"/>
                <w:szCs w:val="18"/>
              </w:rPr>
              <w:t xml:space="preserve"> 579.76 </w:t>
            </w:r>
          </w:p>
        </w:tc>
        <w:tc>
          <w:tcPr>
            <w:tcW w:w="914" w:type="dxa"/>
          </w:tcPr>
          <w:p w14:paraId="798C2584">
            <w:pPr>
              <w:jc w:val="center"/>
              <w:rPr>
                <w:rFonts w:cstheme="minorHAnsi"/>
                <w:sz w:val="18"/>
                <w:szCs w:val="18"/>
              </w:rPr>
            </w:pPr>
            <w:r>
              <w:rPr>
                <w:sz w:val="18"/>
                <w:szCs w:val="18"/>
              </w:rPr>
              <w:t xml:space="preserve"> 520.85 </w:t>
            </w:r>
          </w:p>
        </w:tc>
        <w:tc>
          <w:tcPr>
            <w:tcW w:w="914" w:type="dxa"/>
          </w:tcPr>
          <w:p w14:paraId="10882275">
            <w:pPr>
              <w:jc w:val="center"/>
              <w:rPr>
                <w:rFonts w:cstheme="minorHAnsi"/>
                <w:sz w:val="18"/>
                <w:szCs w:val="18"/>
              </w:rPr>
            </w:pPr>
            <w:r>
              <w:rPr>
                <w:sz w:val="18"/>
                <w:szCs w:val="18"/>
              </w:rPr>
              <w:t xml:space="preserve"> 516.95 </w:t>
            </w:r>
          </w:p>
        </w:tc>
        <w:tc>
          <w:tcPr>
            <w:tcW w:w="914" w:type="dxa"/>
          </w:tcPr>
          <w:p w14:paraId="519E8C63">
            <w:pPr>
              <w:jc w:val="center"/>
              <w:rPr>
                <w:rFonts w:cstheme="minorHAnsi"/>
                <w:sz w:val="18"/>
                <w:szCs w:val="18"/>
              </w:rPr>
            </w:pPr>
            <w:r>
              <w:rPr>
                <w:sz w:val="18"/>
                <w:szCs w:val="18"/>
              </w:rPr>
              <w:t xml:space="preserve"> 512.91 </w:t>
            </w:r>
          </w:p>
        </w:tc>
      </w:tr>
      <w:tr w14:paraId="24FD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75" w:type="dxa"/>
            <w:vAlign w:val="center"/>
          </w:tcPr>
          <w:p w14:paraId="2A22ABF2">
            <w:pPr>
              <w:rPr>
                <w:rFonts w:cstheme="minorHAnsi"/>
                <w:sz w:val="18"/>
                <w:szCs w:val="18"/>
              </w:rPr>
            </w:pPr>
            <w:r>
              <w:rPr>
                <w:rFonts w:cstheme="minorHAnsi"/>
                <w:sz w:val="18"/>
                <w:szCs w:val="18"/>
              </w:rPr>
              <w:t>7</w:t>
            </w:r>
          </w:p>
        </w:tc>
        <w:tc>
          <w:tcPr>
            <w:tcW w:w="1038" w:type="dxa"/>
            <w:vAlign w:val="center"/>
          </w:tcPr>
          <w:p w14:paraId="0F2B278D">
            <w:pPr>
              <w:rPr>
                <w:rFonts w:cstheme="minorHAnsi"/>
                <w:sz w:val="18"/>
                <w:szCs w:val="18"/>
              </w:rPr>
            </w:pPr>
            <w:r>
              <w:rPr>
                <w:rFonts w:cstheme="minorHAnsi"/>
                <w:sz w:val="18"/>
                <w:szCs w:val="18"/>
              </w:rPr>
              <w:t>累计所得税后净现金流</w:t>
            </w:r>
          </w:p>
        </w:tc>
        <w:tc>
          <w:tcPr>
            <w:tcW w:w="973" w:type="dxa"/>
          </w:tcPr>
          <w:p w14:paraId="05990E63">
            <w:pPr>
              <w:jc w:val="center"/>
              <w:rPr>
                <w:rFonts w:cstheme="minorHAnsi"/>
                <w:sz w:val="18"/>
                <w:szCs w:val="18"/>
              </w:rPr>
            </w:pPr>
            <w:r>
              <w:rPr>
                <w:sz w:val="18"/>
                <w:szCs w:val="18"/>
              </w:rPr>
              <w:t xml:space="preserve"> -1,395.56 </w:t>
            </w:r>
          </w:p>
        </w:tc>
        <w:tc>
          <w:tcPr>
            <w:tcW w:w="858" w:type="dxa"/>
          </w:tcPr>
          <w:p w14:paraId="5BC9AE5A">
            <w:pPr>
              <w:jc w:val="center"/>
              <w:rPr>
                <w:rFonts w:cstheme="minorHAnsi"/>
                <w:sz w:val="18"/>
                <w:szCs w:val="18"/>
              </w:rPr>
            </w:pPr>
            <w:r>
              <w:rPr>
                <w:sz w:val="18"/>
                <w:szCs w:val="18"/>
              </w:rPr>
              <w:t xml:space="preserve"> -815.79 </w:t>
            </w:r>
          </w:p>
        </w:tc>
        <w:tc>
          <w:tcPr>
            <w:tcW w:w="858" w:type="dxa"/>
          </w:tcPr>
          <w:p w14:paraId="633289FC">
            <w:pPr>
              <w:jc w:val="center"/>
              <w:rPr>
                <w:rFonts w:cstheme="minorHAnsi"/>
                <w:sz w:val="18"/>
                <w:szCs w:val="18"/>
              </w:rPr>
            </w:pPr>
            <w:r>
              <w:rPr>
                <w:sz w:val="18"/>
                <w:szCs w:val="18"/>
              </w:rPr>
              <w:t xml:space="preserve"> -236.03 </w:t>
            </w:r>
          </w:p>
        </w:tc>
        <w:tc>
          <w:tcPr>
            <w:tcW w:w="914" w:type="dxa"/>
          </w:tcPr>
          <w:p w14:paraId="24E479D7">
            <w:pPr>
              <w:jc w:val="center"/>
              <w:rPr>
                <w:rFonts w:cstheme="minorHAnsi"/>
                <w:sz w:val="18"/>
                <w:szCs w:val="18"/>
              </w:rPr>
            </w:pPr>
            <w:r>
              <w:rPr>
                <w:sz w:val="18"/>
                <w:szCs w:val="18"/>
              </w:rPr>
              <w:t xml:space="preserve"> 343.74 </w:t>
            </w:r>
          </w:p>
        </w:tc>
        <w:tc>
          <w:tcPr>
            <w:tcW w:w="914" w:type="dxa"/>
          </w:tcPr>
          <w:p w14:paraId="6C22F928">
            <w:pPr>
              <w:jc w:val="center"/>
              <w:rPr>
                <w:rFonts w:cstheme="minorHAnsi"/>
                <w:sz w:val="18"/>
                <w:szCs w:val="18"/>
              </w:rPr>
            </w:pPr>
            <w:r>
              <w:rPr>
                <w:sz w:val="18"/>
                <w:szCs w:val="18"/>
              </w:rPr>
              <w:t xml:space="preserve"> 923.50 </w:t>
            </w:r>
          </w:p>
        </w:tc>
        <w:tc>
          <w:tcPr>
            <w:tcW w:w="914" w:type="dxa"/>
          </w:tcPr>
          <w:p w14:paraId="14BD5B63">
            <w:pPr>
              <w:jc w:val="center"/>
              <w:rPr>
                <w:rFonts w:cstheme="minorHAnsi"/>
                <w:sz w:val="18"/>
                <w:szCs w:val="18"/>
              </w:rPr>
            </w:pPr>
            <w:r>
              <w:rPr>
                <w:sz w:val="18"/>
                <w:szCs w:val="18"/>
              </w:rPr>
              <w:t xml:space="preserve"> 1,503.27 </w:t>
            </w:r>
          </w:p>
        </w:tc>
        <w:tc>
          <w:tcPr>
            <w:tcW w:w="914" w:type="dxa"/>
          </w:tcPr>
          <w:p w14:paraId="3F678F26">
            <w:pPr>
              <w:jc w:val="center"/>
              <w:rPr>
                <w:rFonts w:cstheme="minorHAnsi"/>
                <w:sz w:val="18"/>
                <w:szCs w:val="18"/>
              </w:rPr>
            </w:pPr>
            <w:r>
              <w:rPr>
                <w:sz w:val="18"/>
                <w:szCs w:val="18"/>
              </w:rPr>
              <w:t xml:space="preserve"> 2,083.03 </w:t>
            </w:r>
          </w:p>
        </w:tc>
        <w:tc>
          <w:tcPr>
            <w:tcW w:w="914" w:type="dxa"/>
          </w:tcPr>
          <w:p w14:paraId="02EB88C3">
            <w:pPr>
              <w:jc w:val="center"/>
              <w:rPr>
                <w:rFonts w:cstheme="minorHAnsi"/>
                <w:sz w:val="18"/>
                <w:szCs w:val="18"/>
              </w:rPr>
            </w:pPr>
            <w:r>
              <w:rPr>
                <w:sz w:val="18"/>
                <w:szCs w:val="18"/>
              </w:rPr>
              <w:t xml:space="preserve"> 2,662.79 </w:t>
            </w:r>
          </w:p>
        </w:tc>
        <w:tc>
          <w:tcPr>
            <w:tcW w:w="914" w:type="dxa"/>
          </w:tcPr>
          <w:p w14:paraId="20EA6028">
            <w:pPr>
              <w:jc w:val="center"/>
              <w:rPr>
                <w:rFonts w:cstheme="minorHAnsi"/>
                <w:sz w:val="18"/>
                <w:szCs w:val="18"/>
              </w:rPr>
            </w:pPr>
            <w:r>
              <w:rPr>
                <w:sz w:val="18"/>
                <w:szCs w:val="18"/>
              </w:rPr>
              <w:t xml:space="preserve"> 3,242.56 </w:t>
            </w:r>
          </w:p>
        </w:tc>
        <w:tc>
          <w:tcPr>
            <w:tcW w:w="914" w:type="dxa"/>
          </w:tcPr>
          <w:p w14:paraId="5A77A4AA">
            <w:pPr>
              <w:jc w:val="center"/>
              <w:rPr>
                <w:rFonts w:cstheme="minorHAnsi"/>
                <w:sz w:val="18"/>
                <w:szCs w:val="18"/>
              </w:rPr>
            </w:pPr>
            <w:r>
              <w:rPr>
                <w:sz w:val="18"/>
                <w:szCs w:val="18"/>
              </w:rPr>
              <w:t xml:space="preserve"> 3,822.32 </w:t>
            </w:r>
          </w:p>
        </w:tc>
        <w:tc>
          <w:tcPr>
            <w:tcW w:w="914" w:type="dxa"/>
          </w:tcPr>
          <w:p w14:paraId="3AF4FF33">
            <w:pPr>
              <w:jc w:val="center"/>
              <w:rPr>
                <w:rFonts w:cstheme="minorHAnsi"/>
                <w:sz w:val="18"/>
                <w:szCs w:val="18"/>
              </w:rPr>
            </w:pPr>
            <w:r>
              <w:rPr>
                <w:sz w:val="18"/>
                <w:szCs w:val="18"/>
              </w:rPr>
              <w:t xml:space="preserve"> 4,402.09 </w:t>
            </w:r>
          </w:p>
        </w:tc>
        <w:tc>
          <w:tcPr>
            <w:tcW w:w="914" w:type="dxa"/>
          </w:tcPr>
          <w:p w14:paraId="63EF2184">
            <w:pPr>
              <w:jc w:val="center"/>
              <w:rPr>
                <w:rFonts w:cstheme="minorHAnsi"/>
                <w:sz w:val="18"/>
                <w:szCs w:val="18"/>
              </w:rPr>
            </w:pPr>
            <w:r>
              <w:rPr>
                <w:sz w:val="18"/>
                <w:szCs w:val="18"/>
              </w:rPr>
              <w:t xml:space="preserve"> 4,981.85 </w:t>
            </w:r>
          </w:p>
        </w:tc>
        <w:tc>
          <w:tcPr>
            <w:tcW w:w="914" w:type="dxa"/>
          </w:tcPr>
          <w:p w14:paraId="67E5A48F">
            <w:pPr>
              <w:jc w:val="center"/>
              <w:rPr>
                <w:rFonts w:cstheme="minorHAnsi"/>
                <w:sz w:val="18"/>
                <w:szCs w:val="18"/>
              </w:rPr>
            </w:pPr>
            <w:r>
              <w:rPr>
                <w:sz w:val="18"/>
                <w:szCs w:val="18"/>
              </w:rPr>
              <w:t xml:space="preserve"> 5,502.70 </w:t>
            </w:r>
          </w:p>
        </w:tc>
        <w:tc>
          <w:tcPr>
            <w:tcW w:w="914" w:type="dxa"/>
          </w:tcPr>
          <w:p w14:paraId="6FE6F975">
            <w:pPr>
              <w:jc w:val="center"/>
              <w:rPr>
                <w:rFonts w:cstheme="minorHAnsi"/>
                <w:sz w:val="18"/>
                <w:szCs w:val="18"/>
              </w:rPr>
            </w:pPr>
            <w:r>
              <w:rPr>
                <w:sz w:val="18"/>
                <w:szCs w:val="18"/>
              </w:rPr>
              <w:t xml:space="preserve"> 6,019.66 </w:t>
            </w:r>
          </w:p>
        </w:tc>
        <w:tc>
          <w:tcPr>
            <w:tcW w:w="914" w:type="dxa"/>
          </w:tcPr>
          <w:p w14:paraId="0AFCF2D8">
            <w:pPr>
              <w:jc w:val="center"/>
              <w:rPr>
                <w:rFonts w:cstheme="minorHAnsi"/>
                <w:sz w:val="18"/>
                <w:szCs w:val="18"/>
              </w:rPr>
            </w:pPr>
            <w:r>
              <w:rPr>
                <w:sz w:val="18"/>
                <w:szCs w:val="18"/>
              </w:rPr>
              <w:t xml:space="preserve"> 6,532.57 </w:t>
            </w:r>
          </w:p>
        </w:tc>
      </w:tr>
    </w:tbl>
    <w:p w14:paraId="1A25F926">
      <w:pPr>
        <w:pStyle w:val="2"/>
      </w:pPr>
    </w:p>
    <w:p w14:paraId="7A31AA78">
      <w:pPr>
        <w:pStyle w:val="2"/>
      </w:pPr>
    </w:p>
    <w:p w14:paraId="3F51234A">
      <w:pPr>
        <w:pStyle w:val="5"/>
      </w:pPr>
      <w:r>
        <w:t>5</w:t>
      </w:r>
      <w:r>
        <w:rPr>
          <w:rFonts w:hint="eastAsia"/>
        </w:rPr>
        <w:t>、资本金现金流量表</w:t>
      </w:r>
    </w:p>
    <w:tbl>
      <w:tblPr>
        <w:tblStyle w:val="19"/>
        <w:tblW w:w="14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497"/>
        <w:gridCol w:w="910"/>
        <w:gridCol w:w="841"/>
        <w:gridCol w:w="840"/>
        <w:gridCol w:w="840"/>
        <w:gridCol w:w="839"/>
        <w:gridCol w:w="839"/>
        <w:gridCol w:w="839"/>
        <w:gridCol w:w="839"/>
        <w:gridCol w:w="839"/>
        <w:gridCol w:w="839"/>
        <w:gridCol w:w="839"/>
        <w:gridCol w:w="839"/>
        <w:gridCol w:w="839"/>
        <w:gridCol w:w="839"/>
        <w:gridCol w:w="839"/>
      </w:tblGrid>
      <w:tr w14:paraId="338B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15" w:type="dxa"/>
            <w:vAlign w:val="center"/>
          </w:tcPr>
          <w:p w14:paraId="48287437">
            <w:pPr>
              <w:rPr>
                <w:rFonts w:cstheme="minorHAnsi"/>
                <w:sz w:val="18"/>
                <w:szCs w:val="18"/>
              </w:rPr>
            </w:pPr>
            <w:r>
              <w:rPr>
                <w:rFonts w:cstheme="minorHAnsi"/>
                <w:sz w:val="18"/>
                <w:szCs w:val="18"/>
              </w:rPr>
              <w:t xml:space="preserve">序号 </w:t>
            </w:r>
          </w:p>
        </w:tc>
        <w:tc>
          <w:tcPr>
            <w:tcW w:w="1497" w:type="dxa"/>
            <w:vAlign w:val="center"/>
          </w:tcPr>
          <w:p w14:paraId="52FF42F0">
            <w:pPr>
              <w:rPr>
                <w:rFonts w:cstheme="minorHAnsi"/>
                <w:sz w:val="18"/>
                <w:szCs w:val="18"/>
              </w:rPr>
            </w:pPr>
            <w:r>
              <w:rPr>
                <w:rFonts w:cstheme="minorHAnsi"/>
                <w:sz w:val="18"/>
                <w:szCs w:val="18"/>
              </w:rPr>
              <w:t>运营年</w:t>
            </w:r>
          </w:p>
        </w:tc>
        <w:tc>
          <w:tcPr>
            <w:tcW w:w="910" w:type="dxa"/>
          </w:tcPr>
          <w:p w14:paraId="25B7CCAD">
            <w:pPr>
              <w:jc w:val="center"/>
              <w:rPr>
                <w:rFonts w:cstheme="minorHAnsi"/>
                <w:sz w:val="18"/>
                <w:szCs w:val="18"/>
              </w:rPr>
            </w:pPr>
            <w:r>
              <w:rPr>
                <w:rFonts w:cstheme="minorHAnsi"/>
                <w:sz w:val="18"/>
                <w:szCs w:val="18"/>
              </w:rPr>
              <w:t>1</w:t>
            </w:r>
          </w:p>
        </w:tc>
        <w:tc>
          <w:tcPr>
            <w:tcW w:w="841" w:type="dxa"/>
          </w:tcPr>
          <w:p w14:paraId="1733DA5F">
            <w:pPr>
              <w:jc w:val="center"/>
              <w:rPr>
                <w:rFonts w:cstheme="minorHAnsi"/>
                <w:sz w:val="18"/>
                <w:szCs w:val="18"/>
              </w:rPr>
            </w:pPr>
            <w:r>
              <w:rPr>
                <w:rFonts w:cstheme="minorHAnsi"/>
                <w:sz w:val="18"/>
                <w:szCs w:val="18"/>
              </w:rPr>
              <w:t>2</w:t>
            </w:r>
          </w:p>
        </w:tc>
        <w:tc>
          <w:tcPr>
            <w:tcW w:w="840" w:type="dxa"/>
          </w:tcPr>
          <w:p w14:paraId="3B4D39F7">
            <w:pPr>
              <w:jc w:val="center"/>
              <w:rPr>
                <w:rFonts w:cstheme="minorHAnsi"/>
                <w:sz w:val="18"/>
                <w:szCs w:val="18"/>
              </w:rPr>
            </w:pPr>
            <w:r>
              <w:rPr>
                <w:rFonts w:cstheme="minorHAnsi"/>
                <w:sz w:val="18"/>
                <w:szCs w:val="18"/>
              </w:rPr>
              <w:t>3</w:t>
            </w:r>
          </w:p>
        </w:tc>
        <w:tc>
          <w:tcPr>
            <w:tcW w:w="840" w:type="dxa"/>
          </w:tcPr>
          <w:p w14:paraId="1CB58F33">
            <w:pPr>
              <w:jc w:val="center"/>
              <w:rPr>
                <w:rFonts w:cstheme="minorHAnsi"/>
                <w:sz w:val="18"/>
                <w:szCs w:val="18"/>
              </w:rPr>
            </w:pPr>
            <w:r>
              <w:rPr>
                <w:rFonts w:cstheme="minorHAnsi"/>
                <w:sz w:val="18"/>
                <w:szCs w:val="18"/>
              </w:rPr>
              <w:t>4</w:t>
            </w:r>
          </w:p>
        </w:tc>
        <w:tc>
          <w:tcPr>
            <w:tcW w:w="839" w:type="dxa"/>
          </w:tcPr>
          <w:p w14:paraId="7C436287">
            <w:pPr>
              <w:jc w:val="center"/>
              <w:rPr>
                <w:rFonts w:cstheme="minorHAnsi"/>
                <w:sz w:val="18"/>
                <w:szCs w:val="18"/>
              </w:rPr>
            </w:pPr>
            <w:r>
              <w:rPr>
                <w:rFonts w:cstheme="minorHAnsi"/>
                <w:sz w:val="18"/>
                <w:szCs w:val="18"/>
              </w:rPr>
              <w:t>5</w:t>
            </w:r>
          </w:p>
        </w:tc>
        <w:tc>
          <w:tcPr>
            <w:tcW w:w="839" w:type="dxa"/>
          </w:tcPr>
          <w:p w14:paraId="4027CE6D">
            <w:pPr>
              <w:jc w:val="center"/>
              <w:rPr>
                <w:rFonts w:cstheme="minorHAnsi"/>
                <w:sz w:val="18"/>
                <w:szCs w:val="18"/>
              </w:rPr>
            </w:pPr>
            <w:r>
              <w:rPr>
                <w:rFonts w:cstheme="minorHAnsi"/>
                <w:sz w:val="18"/>
                <w:szCs w:val="18"/>
              </w:rPr>
              <w:t>6</w:t>
            </w:r>
          </w:p>
        </w:tc>
        <w:tc>
          <w:tcPr>
            <w:tcW w:w="839" w:type="dxa"/>
          </w:tcPr>
          <w:p w14:paraId="52270F54">
            <w:pPr>
              <w:jc w:val="center"/>
              <w:rPr>
                <w:rFonts w:cstheme="minorHAnsi"/>
                <w:sz w:val="18"/>
                <w:szCs w:val="18"/>
              </w:rPr>
            </w:pPr>
            <w:r>
              <w:rPr>
                <w:rFonts w:cstheme="minorHAnsi"/>
                <w:sz w:val="18"/>
                <w:szCs w:val="18"/>
              </w:rPr>
              <w:t>7</w:t>
            </w:r>
          </w:p>
        </w:tc>
        <w:tc>
          <w:tcPr>
            <w:tcW w:w="839" w:type="dxa"/>
          </w:tcPr>
          <w:p w14:paraId="3F83DA4A">
            <w:pPr>
              <w:jc w:val="center"/>
              <w:rPr>
                <w:rFonts w:cstheme="minorHAnsi"/>
                <w:sz w:val="18"/>
                <w:szCs w:val="18"/>
              </w:rPr>
            </w:pPr>
            <w:r>
              <w:rPr>
                <w:rFonts w:cstheme="minorHAnsi"/>
                <w:sz w:val="18"/>
                <w:szCs w:val="18"/>
              </w:rPr>
              <w:t>8</w:t>
            </w:r>
          </w:p>
        </w:tc>
        <w:tc>
          <w:tcPr>
            <w:tcW w:w="839" w:type="dxa"/>
          </w:tcPr>
          <w:p w14:paraId="405A1B61">
            <w:pPr>
              <w:jc w:val="center"/>
              <w:rPr>
                <w:rFonts w:cstheme="minorHAnsi"/>
                <w:sz w:val="18"/>
                <w:szCs w:val="18"/>
              </w:rPr>
            </w:pPr>
            <w:r>
              <w:rPr>
                <w:rFonts w:cstheme="minorHAnsi"/>
                <w:sz w:val="18"/>
                <w:szCs w:val="18"/>
              </w:rPr>
              <w:t>9</w:t>
            </w:r>
          </w:p>
        </w:tc>
        <w:tc>
          <w:tcPr>
            <w:tcW w:w="839" w:type="dxa"/>
          </w:tcPr>
          <w:p w14:paraId="5BD9318D">
            <w:pPr>
              <w:jc w:val="center"/>
              <w:rPr>
                <w:rFonts w:cstheme="minorHAnsi"/>
                <w:sz w:val="18"/>
                <w:szCs w:val="18"/>
              </w:rPr>
            </w:pPr>
            <w:r>
              <w:rPr>
                <w:rFonts w:cstheme="minorHAnsi"/>
                <w:sz w:val="18"/>
                <w:szCs w:val="18"/>
              </w:rPr>
              <w:t>10</w:t>
            </w:r>
          </w:p>
        </w:tc>
        <w:tc>
          <w:tcPr>
            <w:tcW w:w="839" w:type="dxa"/>
          </w:tcPr>
          <w:p w14:paraId="364EDBD8">
            <w:pPr>
              <w:jc w:val="center"/>
              <w:rPr>
                <w:rFonts w:cstheme="minorHAnsi"/>
                <w:sz w:val="18"/>
                <w:szCs w:val="18"/>
              </w:rPr>
            </w:pPr>
            <w:r>
              <w:rPr>
                <w:rFonts w:cstheme="minorHAnsi"/>
                <w:sz w:val="18"/>
                <w:szCs w:val="18"/>
              </w:rPr>
              <w:t>11</w:t>
            </w:r>
          </w:p>
        </w:tc>
        <w:tc>
          <w:tcPr>
            <w:tcW w:w="839" w:type="dxa"/>
          </w:tcPr>
          <w:p w14:paraId="0A54BD59">
            <w:pPr>
              <w:jc w:val="center"/>
              <w:rPr>
                <w:rFonts w:cstheme="minorHAnsi"/>
                <w:sz w:val="18"/>
                <w:szCs w:val="18"/>
              </w:rPr>
            </w:pPr>
            <w:r>
              <w:rPr>
                <w:rFonts w:cstheme="minorHAnsi"/>
                <w:sz w:val="18"/>
                <w:szCs w:val="18"/>
              </w:rPr>
              <w:t>12</w:t>
            </w:r>
          </w:p>
        </w:tc>
        <w:tc>
          <w:tcPr>
            <w:tcW w:w="839" w:type="dxa"/>
          </w:tcPr>
          <w:p w14:paraId="6FF0A492">
            <w:pPr>
              <w:jc w:val="center"/>
              <w:rPr>
                <w:rFonts w:cstheme="minorHAnsi"/>
                <w:sz w:val="18"/>
                <w:szCs w:val="18"/>
              </w:rPr>
            </w:pPr>
            <w:r>
              <w:rPr>
                <w:rFonts w:cstheme="minorHAnsi"/>
                <w:sz w:val="18"/>
                <w:szCs w:val="18"/>
              </w:rPr>
              <w:t>13</w:t>
            </w:r>
          </w:p>
        </w:tc>
        <w:tc>
          <w:tcPr>
            <w:tcW w:w="839" w:type="dxa"/>
          </w:tcPr>
          <w:p w14:paraId="7DE65971">
            <w:pPr>
              <w:jc w:val="center"/>
              <w:rPr>
                <w:rFonts w:cstheme="minorHAnsi"/>
                <w:sz w:val="18"/>
                <w:szCs w:val="18"/>
              </w:rPr>
            </w:pPr>
            <w:r>
              <w:rPr>
                <w:rFonts w:cstheme="minorHAnsi"/>
                <w:sz w:val="18"/>
                <w:szCs w:val="18"/>
              </w:rPr>
              <w:t>14</w:t>
            </w:r>
          </w:p>
        </w:tc>
        <w:tc>
          <w:tcPr>
            <w:tcW w:w="839" w:type="dxa"/>
          </w:tcPr>
          <w:p w14:paraId="09022D2E">
            <w:pPr>
              <w:jc w:val="center"/>
              <w:rPr>
                <w:rFonts w:cstheme="minorHAnsi"/>
                <w:sz w:val="18"/>
                <w:szCs w:val="18"/>
              </w:rPr>
            </w:pPr>
            <w:r>
              <w:rPr>
                <w:rFonts w:cstheme="minorHAnsi"/>
                <w:sz w:val="18"/>
                <w:szCs w:val="18"/>
              </w:rPr>
              <w:t>15</w:t>
            </w:r>
          </w:p>
        </w:tc>
      </w:tr>
      <w:tr w14:paraId="6162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15" w:type="dxa"/>
          </w:tcPr>
          <w:p w14:paraId="19CA9A75">
            <w:pPr>
              <w:rPr>
                <w:rFonts w:cstheme="minorHAnsi"/>
                <w:sz w:val="18"/>
                <w:szCs w:val="18"/>
              </w:rPr>
            </w:pPr>
            <w:r>
              <w:rPr>
                <w:sz w:val="18"/>
                <w:szCs w:val="18"/>
              </w:rPr>
              <w:t>1</w:t>
            </w:r>
          </w:p>
        </w:tc>
        <w:tc>
          <w:tcPr>
            <w:tcW w:w="1497" w:type="dxa"/>
          </w:tcPr>
          <w:p w14:paraId="0C944450">
            <w:pPr>
              <w:rPr>
                <w:rFonts w:cstheme="minorHAnsi"/>
                <w:sz w:val="18"/>
                <w:szCs w:val="18"/>
              </w:rPr>
            </w:pPr>
            <w:r>
              <w:rPr>
                <w:rFonts w:hint="eastAsia"/>
                <w:sz w:val="18"/>
                <w:szCs w:val="18"/>
              </w:rPr>
              <w:t>现金流入</w:t>
            </w:r>
          </w:p>
        </w:tc>
        <w:tc>
          <w:tcPr>
            <w:tcW w:w="910" w:type="dxa"/>
          </w:tcPr>
          <w:p w14:paraId="2F0D6151">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41" w:type="dxa"/>
          </w:tcPr>
          <w:p w14:paraId="2F5B395E">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40" w:type="dxa"/>
          </w:tcPr>
          <w:p w14:paraId="59B495ED">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40" w:type="dxa"/>
          </w:tcPr>
          <w:p w14:paraId="7FE88993">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16F2BC7F">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793623C8">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2D07B315">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1B6DF72F">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64B095A5">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6569D765">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28793295">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4C963F64">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3B0AC12F">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26A20A75">
            <w:pPr>
              <w:jc w:val="center"/>
              <w:rPr>
                <w:rFonts w:cstheme="minorHAnsi"/>
                <w:color w:val="000000" w:themeColor="text1"/>
                <w:sz w:val="18"/>
                <w:szCs w:val="18"/>
                <w14:textFill>
                  <w14:solidFill>
                    <w14:schemeClr w14:val="tx1"/>
                  </w14:solidFill>
                </w14:textFill>
              </w:rPr>
            </w:pPr>
            <w:r>
              <w:rPr>
                <w:sz w:val="18"/>
                <w:szCs w:val="18"/>
              </w:rPr>
              <w:t xml:space="preserve"> 938.92 </w:t>
            </w:r>
          </w:p>
        </w:tc>
        <w:tc>
          <w:tcPr>
            <w:tcW w:w="839" w:type="dxa"/>
          </w:tcPr>
          <w:p w14:paraId="3177F0F0">
            <w:pPr>
              <w:jc w:val="center"/>
              <w:rPr>
                <w:rFonts w:cstheme="minorHAnsi"/>
                <w:color w:val="000000" w:themeColor="text1"/>
                <w:sz w:val="18"/>
                <w:szCs w:val="18"/>
                <w14:textFill>
                  <w14:solidFill>
                    <w14:schemeClr w14:val="tx1"/>
                  </w14:solidFill>
                </w14:textFill>
              </w:rPr>
            </w:pPr>
            <w:r>
              <w:rPr>
                <w:sz w:val="18"/>
                <w:szCs w:val="18"/>
              </w:rPr>
              <w:t xml:space="preserve"> 938.92 </w:t>
            </w:r>
          </w:p>
        </w:tc>
      </w:tr>
      <w:tr w14:paraId="265C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15" w:type="dxa"/>
          </w:tcPr>
          <w:p w14:paraId="2CAFCC4A">
            <w:pPr>
              <w:rPr>
                <w:rFonts w:cstheme="minorHAnsi"/>
                <w:sz w:val="18"/>
                <w:szCs w:val="18"/>
              </w:rPr>
            </w:pPr>
            <w:r>
              <w:rPr>
                <w:sz w:val="18"/>
                <w:szCs w:val="18"/>
              </w:rPr>
              <w:t>1.1</w:t>
            </w:r>
          </w:p>
        </w:tc>
        <w:tc>
          <w:tcPr>
            <w:tcW w:w="1497" w:type="dxa"/>
          </w:tcPr>
          <w:p w14:paraId="6F3CECCD">
            <w:pPr>
              <w:rPr>
                <w:rFonts w:cstheme="minorHAnsi"/>
                <w:sz w:val="18"/>
                <w:szCs w:val="18"/>
              </w:rPr>
            </w:pPr>
            <w:r>
              <w:rPr>
                <w:rFonts w:hint="eastAsia"/>
                <w:sz w:val="18"/>
                <w:szCs w:val="18"/>
              </w:rPr>
              <w:t>营业收入（含税）</w:t>
            </w:r>
          </w:p>
        </w:tc>
        <w:tc>
          <w:tcPr>
            <w:tcW w:w="910" w:type="dxa"/>
          </w:tcPr>
          <w:p w14:paraId="0F555DFA">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41" w:type="dxa"/>
          </w:tcPr>
          <w:p w14:paraId="5902E9B4">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40" w:type="dxa"/>
          </w:tcPr>
          <w:p w14:paraId="5FCC8CD5">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40" w:type="dxa"/>
          </w:tcPr>
          <w:p w14:paraId="4543BD8A">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52CB4221">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5AB4D483">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66498E56">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2EE676E6">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5A6C207B">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0127011A">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506203EF">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5B3DB839">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69D14430">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1C31CB58">
            <w:pPr>
              <w:jc w:val="center"/>
              <w:rPr>
                <w:rFonts w:cstheme="minorHAnsi"/>
                <w:color w:val="000000" w:themeColor="text1"/>
                <w:sz w:val="18"/>
                <w:szCs w:val="18"/>
                <w14:textFill>
                  <w14:solidFill>
                    <w14:schemeClr w14:val="tx1"/>
                  </w14:solidFill>
                </w14:textFill>
              </w:rPr>
            </w:pPr>
            <w:r>
              <w:rPr>
                <w:sz w:val="18"/>
                <w:szCs w:val="18"/>
              </w:rPr>
              <w:t xml:space="preserve"> 919.00 </w:t>
            </w:r>
          </w:p>
        </w:tc>
        <w:tc>
          <w:tcPr>
            <w:tcW w:w="839" w:type="dxa"/>
          </w:tcPr>
          <w:p w14:paraId="3D52A3A5">
            <w:pPr>
              <w:jc w:val="center"/>
              <w:rPr>
                <w:rFonts w:cstheme="minorHAnsi"/>
                <w:color w:val="000000" w:themeColor="text1"/>
                <w:sz w:val="18"/>
                <w:szCs w:val="18"/>
                <w14:textFill>
                  <w14:solidFill>
                    <w14:schemeClr w14:val="tx1"/>
                  </w14:solidFill>
                </w14:textFill>
              </w:rPr>
            </w:pPr>
            <w:r>
              <w:rPr>
                <w:sz w:val="18"/>
                <w:szCs w:val="18"/>
              </w:rPr>
              <w:t xml:space="preserve"> 919.00 </w:t>
            </w:r>
          </w:p>
        </w:tc>
      </w:tr>
      <w:tr w14:paraId="2B98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15" w:type="dxa"/>
          </w:tcPr>
          <w:p w14:paraId="4F18E0A2">
            <w:pPr>
              <w:rPr>
                <w:rFonts w:cstheme="minorHAnsi"/>
                <w:sz w:val="18"/>
                <w:szCs w:val="18"/>
              </w:rPr>
            </w:pPr>
            <w:r>
              <w:rPr>
                <w:sz w:val="18"/>
                <w:szCs w:val="18"/>
              </w:rPr>
              <w:t>1.2</w:t>
            </w:r>
          </w:p>
        </w:tc>
        <w:tc>
          <w:tcPr>
            <w:tcW w:w="1497" w:type="dxa"/>
          </w:tcPr>
          <w:p w14:paraId="086E7B13">
            <w:pPr>
              <w:rPr>
                <w:rFonts w:cstheme="minorHAnsi"/>
                <w:sz w:val="18"/>
                <w:szCs w:val="18"/>
              </w:rPr>
            </w:pPr>
            <w:r>
              <w:rPr>
                <w:rFonts w:hint="eastAsia"/>
                <w:sz w:val="18"/>
                <w:szCs w:val="18"/>
              </w:rPr>
              <w:t>退税收入</w:t>
            </w:r>
          </w:p>
        </w:tc>
        <w:tc>
          <w:tcPr>
            <w:tcW w:w="910" w:type="dxa"/>
          </w:tcPr>
          <w:p w14:paraId="117441AD">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41" w:type="dxa"/>
          </w:tcPr>
          <w:p w14:paraId="34083F0C">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40" w:type="dxa"/>
          </w:tcPr>
          <w:p w14:paraId="3B6787DA">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40" w:type="dxa"/>
          </w:tcPr>
          <w:p w14:paraId="0DD37D88">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05837AE4">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200E1DF3">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589FB1B1">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0170B8E8">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5C725B72">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2A2B02FA">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4F1DF89A">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4BD7063C">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131700EB">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748AF808">
            <w:pPr>
              <w:jc w:val="center"/>
              <w:rPr>
                <w:rFonts w:cstheme="minorHAnsi"/>
                <w:color w:val="000000" w:themeColor="text1"/>
                <w:sz w:val="18"/>
                <w:szCs w:val="18"/>
                <w14:textFill>
                  <w14:solidFill>
                    <w14:schemeClr w14:val="tx1"/>
                  </w14:solidFill>
                </w14:textFill>
              </w:rPr>
            </w:pPr>
            <w:r>
              <w:rPr>
                <w:sz w:val="18"/>
                <w:szCs w:val="18"/>
              </w:rPr>
              <w:t xml:space="preserve"> 19.92 </w:t>
            </w:r>
          </w:p>
        </w:tc>
        <w:tc>
          <w:tcPr>
            <w:tcW w:w="839" w:type="dxa"/>
          </w:tcPr>
          <w:p w14:paraId="125A41BF">
            <w:pPr>
              <w:jc w:val="center"/>
              <w:rPr>
                <w:rFonts w:cstheme="minorHAnsi"/>
                <w:color w:val="000000" w:themeColor="text1"/>
                <w:sz w:val="18"/>
                <w:szCs w:val="18"/>
                <w14:textFill>
                  <w14:solidFill>
                    <w14:schemeClr w14:val="tx1"/>
                  </w14:solidFill>
                </w14:textFill>
              </w:rPr>
            </w:pPr>
            <w:r>
              <w:rPr>
                <w:sz w:val="18"/>
                <w:szCs w:val="18"/>
              </w:rPr>
              <w:t xml:space="preserve"> 19.92 </w:t>
            </w:r>
          </w:p>
        </w:tc>
      </w:tr>
      <w:tr w14:paraId="3118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15" w:type="dxa"/>
          </w:tcPr>
          <w:p w14:paraId="25B53D45">
            <w:pPr>
              <w:rPr>
                <w:rFonts w:cstheme="minorHAnsi"/>
                <w:sz w:val="18"/>
                <w:szCs w:val="18"/>
              </w:rPr>
            </w:pPr>
            <w:r>
              <w:rPr>
                <w:sz w:val="18"/>
                <w:szCs w:val="18"/>
              </w:rPr>
              <w:t>1.3</w:t>
            </w:r>
          </w:p>
        </w:tc>
        <w:tc>
          <w:tcPr>
            <w:tcW w:w="1497" w:type="dxa"/>
          </w:tcPr>
          <w:p w14:paraId="34FC3D95">
            <w:pPr>
              <w:rPr>
                <w:rFonts w:cstheme="minorHAnsi"/>
                <w:sz w:val="18"/>
                <w:szCs w:val="18"/>
              </w:rPr>
            </w:pPr>
            <w:r>
              <w:rPr>
                <w:rFonts w:hint="eastAsia"/>
                <w:sz w:val="18"/>
                <w:szCs w:val="18"/>
              </w:rPr>
              <w:t>回收固定资产余值</w:t>
            </w:r>
          </w:p>
        </w:tc>
        <w:tc>
          <w:tcPr>
            <w:tcW w:w="910" w:type="dxa"/>
          </w:tcPr>
          <w:p w14:paraId="4BD35BD6">
            <w:pPr>
              <w:jc w:val="center"/>
              <w:rPr>
                <w:rFonts w:cstheme="minorHAnsi"/>
                <w:color w:val="000000" w:themeColor="text1"/>
                <w:sz w:val="18"/>
                <w:szCs w:val="18"/>
                <w14:textFill>
                  <w14:solidFill>
                    <w14:schemeClr w14:val="tx1"/>
                  </w14:solidFill>
                </w14:textFill>
              </w:rPr>
            </w:pPr>
          </w:p>
        </w:tc>
        <w:tc>
          <w:tcPr>
            <w:tcW w:w="841" w:type="dxa"/>
          </w:tcPr>
          <w:p w14:paraId="0677115D">
            <w:pPr>
              <w:jc w:val="center"/>
              <w:rPr>
                <w:rFonts w:cstheme="minorHAnsi"/>
                <w:color w:val="000000" w:themeColor="text1"/>
                <w:sz w:val="18"/>
                <w:szCs w:val="18"/>
                <w14:textFill>
                  <w14:solidFill>
                    <w14:schemeClr w14:val="tx1"/>
                  </w14:solidFill>
                </w14:textFill>
              </w:rPr>
            </w:pPr>
          </w:p>
        </w:tc>
        <w:tc>
          <w:tcPr>
            <w:tcW w:w="840" w:type="dxa"/>
          </w:tcPr>
          <w:p w14:paraId="20E1D07D">
            <w:pPr>
              <w:jc w:val="center"/>
              <w:rPr>
                <w:rFonts w:cstheme="minorHAnsi"/>
                <w:color w:val="000000" w:themeColor="text1"/>
                <w:sz w:val="18"/>
                <w:szCs w:val="18"/>
                <w14:textFill>
                  <w14:solidFill>
                    <w14:schemeClr w14:val="tx1"/>
                  </w14:solidFill>
                </w14:textFill>
              </w:rPr>
            </w:pPr>
          </w:p>
        </w:tc>
        <w:tc>
          <w:tcPr>
            <w:tcW w:w="840" w:type="dxa"/>
          </w:tcPr>
          <w:p w14:paraId="12080BA0">
            <w:pPr>
              <w:jc w:val="center"/>
              <w:rPr>
                <w:rFonts w:cstheme="minorHAnsi"/>
                <w:color w:val="000000" w:themeColor="text1"/>
                <w:sz w:val="18"/>
                <w:szCs w:val="18"/>
                <w14:textFill>
                  <w14:solidFill>
                    <w14:schemeClr w14:val="tx1"/>
                  </w14:solidFill>
                </w14:textFill>
              </w:rPr>
            </w:pPr>
          </w:p>
        </w:tc>
        <w:tc>
          <w:tcPr>
            <w:tcW w:w="839" w:type="dxa"/>
          </w:tcPr>
          <w:p w14:paraId="59B2C626">
            <w:pPr>
              <w:jc w:val="center"/>
              <w:rPr>
                <w:rFonts w:cstheme="minorHAnsi"/>
                <w:color w:val="000000" w:themeColor="text1"/>
                <w:sz w:val="18"/>
                <w:szCs w:val="18"/>
                <w14:textFill>
                  <w14:solidFill>
                    <w14:schemeClr w14:val="tx1"/>
                  </w14:solidFill>
                </w14:textFill>
              </w:rPr>
            </w:pPr>
          </w:p>
        </w:tc>
        <w:tc>
          <w:tcPr>
            <w:tcW w:w="839" w:type="dxa"/>
          </w:tcPr>
          <w:p w14:paraId="3A689585">
            <w:pPr>
              <w:jc w:val="center"/>
              <w:rPr>
                <w:rFonts w:cstheme="minorHAnsi"/>
                <w:color w:val="000000" w:themeColor="text1"/>
                <w:sz w:val="18"/>
                <w:szCs w:val="18"/>
                <w14:textFill>
                  <w14:solidFill>
                    <w14:schemeClr w14:val="tx1"/>
                  </w14:solidFill>
                </w14:textFill>
              </w:rPr>
            </w:pPr>
          </w:p>
        </w:tc>
        <w:tc>
          <w:tcPr>
            <w:tcW w:w="839" w:type="dxa"/>
          </w:tcPr>
          <w:p w14:paraId="593CD081">
            <w:pPr>
              <w:jc w:val="center"/>
              <w:rPr>
                <w:rFonts w:cstheme="minorHAnsi"/>
                <w:color w:val="000000" w:themeColor="text1"/>
                <w:sz w:val="18"/>
                <w:szCs w:val="18"/>
                <w14:textFill>
                  <w14:solidFill>
                    <w14:schemeClr w14:val="tx1"/>
                  </w14:solidFill>
                </w14:textFill>
              </w:rPr>
            </w:pPr>
          </w:p>
        </w:tc>
        <w:tc>
          <w:tcPr>
            <w:tcW w:w="839" w:type="dxa"/>
          </w:tcPr>
          <w:p w14:paraId="0D17BFC1">
            <w:pPr>
              <w:jc w:val="center"/>
              <w:rPr>
                <w:rFonts w:cstheme="minorHAnsi"/>
                <w:color w:val="000000" w:themeColor="text1"/>
                <w:sz w:val="18"/>
                <w:szCs w:val="18"/>
                <w14:textFill>
                  <w14:solidFill>
                    <w14:schemeClr w14:val="tx1"/>
                  </w14:solidFill>
                </w14:textFill>
              </w:rPr>
            </w:pPr>
          </w:p>
        </w:tc>
        <w:tc>
          <w:tcPr>
            <w:tcW w:w="839" w:type="dxa"/>
          </w:tcPr>
          <w:p w14:paraId="63240F40">
            <w:pPr>
              <w:jc w:val="center"/>
              <w:rPr>
                <w:rFonts w:cstheme="minorHAnsi"/>
                <w:color w:val="000000" w:themeColor="text1"/>
                <w:sz w:val="18"/>
                <w:szCs w:val="18"/>
                <w14:textFill>
                  <w14:solidFill>
                    <w14:schemeClr w14:val="tx1"/>
                  </w14:solidFill>
                </w14:textFill>
              </w:rPr>
            </w:pPr>
          </w:p>
        </w:tc>
        <w:tc>
          <w:tcPr>
            <w:tcW w:w="839" w:type="dxa"/>
          </w:tcPr>
          <w:p w14:paraId="7969F6AB">
            <w:pPr>
              <w:jc w:val="center"/>
              <w:rPr>
                <w:rFonts w:cstheme="minorHAnsi"/>
                <w:color w:val="000000" w:themeColor="text1"/>
                <w:sz w:val="18"/>
                <w:szCs w:val="18"/>
                <w14:textFill>
                  <w14:solidFill>
                    <w14:schemeClr w14:val="tx1"/>
                  </w14:solidFill>
                </w14:textFill>
              </w:rPr>
            </w:pPr>
          </w:p>
        </w:tc>
        <w:tc>
          <w:tcPr>
            <w:tcW w:w="839" w:type="dxa"/>
          </w:tcPr>
          <w:p w14:paraId="7128F7F4">
            <w:pPr>
              <w:jc w:val="center"/>
              <w:rPr>
                <w:rFonts w:cstheme="minorHAnsi"/>
                <w:color w:val="000000" w:themeColor="text1"/>
                <w:sz w:val="18"/>
                <w:szCs w:val="18"/>
                <w14:textFill>
                  <w14:solidFill>
                    <w14:schemeClr w14:val="tx1"/>
                  </w14:solidFill>
                </w14:textFill>
              </w:rPr>
            </w:pPr>
          </w:p>
        </w:tc>
        <w:tc>
          <w:tcPr>
            <w:tcW w:w="839" w:type="dxa"/>
          </w:tcPr>
          <w:p w14:paraId="4BBD32F7">
            <w:pPr>
              <w:jc w:val="center"/>
              <w:rPr>
                <w:rFonts w:cstheme="minorHAnsi"/>
                <w:color w:val="000000" w:themeColor="text1"/>
                <w:sz w:val="18"/>
                <w:szCs w:val="18"/>
                <w14:textFill>
                  <w14:solidFill>
                    <w14:schemeClr w14:val="tx1"/>
                  </w14:solidFill>
                </w14:textFill>
              </w:rPr>
            </w:pPr>
          </w:p>
        </w:tc>
        <w:tc>
          <w:tcPr>
            <w:tcW w:w="839" w:type="dxa"/>
          </w:tcPr>
          <w:p w14:paraId="34591A27">
            <w:pPr>
              <w:jc w:val="center"/>
              <w:rPr>
                <w:rFonts w:cstheme="minorHAnsi"/>
                <w:color w:val="000000" w:themeColor="text1"/>
                <w:sz w:val="18"/>
                <w:szCs w:val="18"/>
                <w14:textFill>
                  <w14:solidFill>
                    <w14:schemeClr w14:val="tx1"/>
                  </w14:solidFill>
                </w14:textFill>
              </w:rPr>
            </w:pPr>
          </w:p>
        </w:tc>
        <w:tc>
          <w:tcPr>
            <w:tcW w:w="839" w:type="dxa"/>
          </w:tcPr>
          <w:p w14:paraId="594D1DA3">
            <w:pPr>
              <w:jc w:val="center"/>
              <w:rPr>
                <w:rFonts w:cstheme="minorHAnsi"/>
                <w:color w:val="000000" w:themeColor="text1"/>
                <w:sz w:val="18"/>
                <w:szCs w:val="18"/>
                <w14:textFill>
                  <w14:solidFill>
                    <w14:schemeClr w14:val="tx1"/>
                  </w14:solidFill>
                </w14:textFill>
              </w:rPr>
            </w:pPr>
          </w:p>
        </w:tc>
        <w:tc>
          <w:tcPr>
            <w:tcW w:w="839" w:type="dxa"/>
          </w:tcPr>
          <w:p w14:paraId="7E76DD63">
            <w:pPr>
              <w:jc w:val="center"/>
              <w:rPr>
                <w:rFonts w:cstheme="minorHAnsi"/>
                <w:color w:val="000000" w:themeColor="text1"/>
                <w:sz w:val="18"/>
                <w:szCs w:val="18"/>
                <w14:textFill>
                  <w14:solidFill>
                    <w14:schemeClr w14:val="tx1"/>
                  </w14:solidFill>
                </w14:textFill>
              </w:rPr>
            </w:pPr>
          </w:p>
        </w:tc>
      </w:tr>
      <w:tr w14:paraId="5CDC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15" w:type="dxa"/>
          </w:tcPr>
          <w:p w14:paraId="061FDE68">
            <w:pPr>
              <w:rPr>
                <w:rFonts w:cstheme="minorHAnsi"/>
                <w:sz w:val="18"/>
                <w:szCs w:val="18"/>
              </w:rPr>
            </w:pPr>
            <w:r>
              <w:rPr>
                <w:sz w:val="18"/>
                <w:szCs w:val="18"/>
              </w:rPr>
              <w:t>1.4</w:t>
            </w:r>
          </w:p>
        </w:tc>
        <w:tc>
          <w:tcPr>
            <w:tcW w:w="1497" w:type="dxa"/>
          </w:tcPr>
          <w:p w14:paraId="0FA3FFF8">
            <w:pPr>
              <w:rPr>
                <w:rFonts w:cstheme="minorHAnsi"/>
                <w:sz w:val="18"/>
                <w:szCs w:val="18"/>
              </w:rPr>
            </w:pPr>
            <w:r>
              <w:rPr>
                <w:rFonts w:hint="eastAsia"/>
                <w:sz w:val="18"/>
                <w:szCs w:val="18"/>
              </w:rPr>
              <w:t>回收流动资金</w:t>
            </w:r>
          </w:p>
        </w:tc>
        <w:tc>
          <w:tcPr>
            <w:tcW w:w="910" w:type="dxa"/>
          </w:tcPr>
          <w:p w14:paraId="219F8BD0">
            <w:pPr>
              <w:jc w:val="center"/>
              <w:rPr>
                <w:rFonts w:cstheme="minorHAnsi"/>
                <w:color w:val="000000" w:themeColor="text1"/>
                <w:sz w:val="18"/>
                <w:szCs w:val="18"/>
                <w14:textFill>
                  <w14:solidFill>
                    <w14:schemeClr w14:val="tx1"/>
                  </w14:solidFill>
                </w14:textFill>
              </w:rPr>
            </w:pPr>
          </w:p>
        </w:tc>
        <w:tc>
          <w:tcPr>
            <w:tcW w:w="841" w:type="dxa"/>
          </w:tcPr>
          <w:p w14:paraId="00C35F51">
            <w:pPr>
              <w:jc w:val="center"/>
              <w:rPr>
                <w:rFonts w:cstheme="minorHAnsi"/>
                <w:color w:val="000000" w:themeColor="text1"/>
                <w:sz w:val="18"/>
                <w:szCs w:val="18"/>
                <w14:textFill>
                  <w14:solidFill>
                    <w14:schemeClr w14:val="tx1"/>
                  </w14:solidFill>
                </w14:textFill>
              </w:rPr>
            </w:pPr>
          </w:p>
        </w:tc>
        <w:tc>
          <w:tcPr>
            <w:tcW w:w="840" w:type="dxa"/>
          </w:tcPr>
          <w:p w14:paraId="622C551B">
            <w:pPr>
              <w:jc w:val="center"/>
              <w:rPr>
                <w:rFonts w:cstheme="minorHAnsi"/>
                <w:color w:val="000000" w:themeColor="text1"/>
                <w:sz w:val="18"/>
                <w:szCs w:val="18"/>
                <w14:textFill>
                  <w14:solidFill>
                    <w14:schemeClr w14:val="tx1"/>
                  </w14:solidFill>
                </w14:textFill>
              </w:rPr>
            </w:pPr>
          </w:p>
        </w:tc>
        <w:tc>
          <w:tcPr>
            <w:tcW w:w="840" w:type="dxa"/>
          </w:tcPr>
          <w:p w14:paraId="59C9CCDE">
            <w:pPr>
              <w:jc w:val="center"/>
              <w:rPr>
                <w:rFonts w:cstheme="minorHAnsi"/>
                <w:color w:val="000000" w:themeColor="text1"/>
                <w:sz w:val="18"/>
                <w:szCs w:val="18"/>
                <w14:textFill>
                  <w14:solidFill>
                    <w14:schemeClr w14:val="tx1"/>
                  </w14:solidFill>
                </w14:textFill>
              </w:rPr>
            </w:pPr>
          </w:p>
        </w:tc>
        <w:tc>
          <w:tcPr>
            <w:tcW w:w="839" w:type="dxa"/>
          </w:tcPr>
          <w:p w14:paraId="2DC540B5">
            <w:pPr>
              <w:jc w:val="center"/>
              <w:rPr>
                <w:rFonts w:cstheme="minorHAnsi"/>
                <w:color w:val="000000" w:themeColor="text1"/>
                <w:sz w:val="18"/>
                <w:szCs w:val="18"/>
                <w14:textFill>
                  <w14:solidFill>
                    <w14:schemeClr w14:val="tx1"/>
                  </w14:solidFill>
                </w14:textFill>
              </w:rPr>
            </w:pPr>
          </w:p>
        </w:tc>
        <w:tc>
          <w:tcPr>
            <w:tcW w:w="839" w:type="dxa"/>
          </w:tcPr>
          <w:p w14:paraId="0350345A">
            <w:pPr>
              <w:jc w:val="center"/>
              <w:rPr>
                <w:rFonts w:cstheme="minorHAnsi"/>
                <w:color w:val="000000" w:themeColor="text1"/>
                <w:sz w:val="18"/>
                <w:szCs w:val="18"/>
                <w14:textFill>
                  <w14:solidFill>
                    <w14:schemeClr w14:val="tx1"/>
                  </w14:solidFill>
                </w14:textFill>
              </w:rPr>
            </w:pPr>
          </w:p>
        </w:tc>
        <w:tc>
          <w:tcPr>
            <w:tcW w:w="839" w:type="dxa"/>
          </w:tcPr>
          <w:p w14:paraId="36F516F2">
            <w:pPr>
              <w:jc w:val="center"/>
              <w:rPr>
                <w:rFonts w:cstheme="minorHAnsi"/>
                <w:color w:val="000000" w:themeColor="text1"/>
                <w:sz w:val="18"/>
                <w:szCs w:val="18"/>
                <w14:textFill>
                  <w14:solidFill>
                    <w14:schemeClr w14:val="tx1"/>
                  </w14:solidFill>
                </w14:textFill>
              </w:rPr>
            </w:pPr>
          </w:p>
        </w:tc>
        <w:tc>
          <w:tcPr>
            <w:tcW w:w="839" w:type="dxa"/>
          </w:tcPr>
          <w:p w14:paraId="737E08DF">
            <w:pPr>
              <w:jc w:val="center"/>
              <w:rPr>
                <w:rFonts w:cstheme="minorHAnsi"/>
                <w:color w:val="000000" w:themeColor="text1"/>
                <w:sz w:val="18"/>
                <w:szCs w:val="18"/>
                <w14:textFill>
                  <w14:solidFill>
                    <w14:schemeClr w14:val="tx1"/>
                  </w14:solidFill>
                </w14:textFill>
              </w:rPr>
            </w:pPr>
          </w:p>
        </w:tc>
        <w:tc>
          <w:tcPr>
            <w:tcW w:w="839" w:type="dxa"/>
          </w:tcPr>
          <w:p w14:paraId="45274461">
            <w:pPr>
              <w:jc w:val="center"/>
              <w:rPr>
                <w:rFonts w:cstheme="minorHAnsi"/>
                <w:color w:val="000000" w:themeColor="text1"/>
                <w:sz w:val="18"/>
                <w:szCs w:val="18"/>
                <w14:textFill>
                  <w14:solidFill>
                    <w14:schemeClr w14:val="tx1"/>
                  </w14:solidFill>
                </w14:textFill>
              </w:rPr>
            </w:pPr>
          </w:p>
        </w:tc>
        <w:tc>
          <w:tcPr>
            <w:tcW w:w="839" w:type="dxa"/>
          </w:tcPr>
          <w:p w14:paraId="0E771056">
            <w:pPr>
              <w:jc w:val="center"/>
              <w:rPr>
                <w:rFonts w:cstheme="minorHAnsi"/>
                <w:color w:val="000000" w:themeColor="text1"/>
                <w:sz w:val="18"/>
                <w:szCs w:val="18"/>
                <w14:textFill>
                  <w14:solidFill>
                    <w14:schemeClr w14:val="tx1"/>
                  </w14:solidFill>
                </w14:textFill>
              </w:rPr>
            </w:pPr>
          </w:p>
        </w:tc>
        <w:tc>
          <w:tcPr>
            <w:tcW w:w="839" w:type="dxa"/>
          </w:tcPr>
          <w:p w14:paraId="08BA7795">
            <w:pPr>
              <w:jc w:val="center"/>
              <w:rPr>
                <w:rFonts w:cstheme="minorHAnsi"/>
                <w:color w:val="000000" w:themeColor="text1"/>
                <w:sz w:val="18"/>
                <w:szCs w:val="18"/>
                <w14:textFill>
                  <w14:solidFill>
                    <w14:schemeClr w14:val="tx1"/>
                  </w14:solidFill>
                </w14:textFill>
              </w:rPr>
            </w:pPr>
          </w:p>
        </w:tc>
        <w:tc>
          <w:tcPr>
            <w:tcW w:w="839" w:type="dxa"/>
          </w:tcPr>
          <w:p w14:paraId="748A356A">
            <w:pPr>
              <w:jc w:val="center"/>
              <w:rPr>
                <w:rFonts w:cstheme="minorHAnsi"/>
                <w:color w:val="000000" w:themeColor="text1"/>
                <w:sz w:val="18"/>
                <w:szCs w:val="18"/>
                <w14:textFill>
                  <w14:solidFill>
                    <w14:schemeClr w14:val="tx1"/>
                  </w14:solidFill>
                </w14:textFill>
              </w:rPr>
            </w:pPr>
          </w:p>
        </w:tc>
        <w:tc>
          <w:tcPr>
            <w:tcW w:w="839" w:type="dxa"/>
          </w:tcPr>
          <w:p w14:paraId="75301CBD">
            <w:pPr>
              <w:jc w:val="center"/>
              <w:rPr>
                <w:rFonts w:cstheme="minorHAnsi"/>
                <w:color w:val="000000" w:themeColor="text1"/>
                <w:sz w:val="18"/>
                <w:szCs w:val="18"/>
                <w14:textFill>
                  <w14:solidFill>
                    <w14:schemeClr w14:val="tx1"/>
                  </w14:solidFill>
                </w14:textFill>
              </w:rPr>
            </w:pPr>
          </w:p>
        </w:tc>
        <w:tc>
          <w:tcPr>
            <w:tcW w:w="839" w:type="dxa"/>
          </w:tcPr>
          <w:p w14:paraId="51CB7AF7">
            <w:pPr>
              <w:jc w:val="center"/>
              <w:rPr>
                <w:rFonts w:cstheme="minorHAnsi"/>
                <w:color w:val="000000" w:themeColor="text1"/>
                <w:sz w:val="18"/>
                <w:szCs w:val="18"/>
                <w14:textFill>
                  <w14:solidFill>
                    <w14:schemeClr w14:val="tx1"/>
                  </w14:solidFill>
                </w14:textFill>
              </w:rPr>
            </w:pPr>
          </w:p>
        </w:tc>
        <w:tc>
          <w:tcPr>
            <w:tcW w:w="839" w:type="dxa"/>
          </w:tcPr>
          <w:p w14:paraId="06393CC3">
            <w:pPr>
              <w:jc w:val="center"/>
              <w:rPr>
                <w:rFonts w:cstheme="minorHAnsi"/>
                <w:color w:val="000000" w:themeColor="text1"/>
                <w:sz w:val="18"/>
                <w:szCs w:val="18"/>
                <w14:textFill>
                  <w14:solidFill>
                    <w14:schemeClr w14:val="tx1"/>
                  </w14:solidFill>
                </w14:textFill>
              </w:rPr>
            </w:pPr>
          </w:p>
        </w:tc>
      </w:tr>
      <w:tr w14:paraId="2ACF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15" w:type="dxa"/>
          </w:tcPr>
          <w:p w14:paraId="19307D44">
            <w:pPr>
              <w:rPr>
                <w:rFonts w:cstheme="minorHAnsi"/>
                <w:sz w:val="18"/>
                <w:szCs w:val="18"/>
              </w:rPr>
            </w:pPr>
            <w:r>
              <w:rPr>
                <w:sz w:val="18"/>
                <w:szCs w:val="18"/>
              </w:rPr>
              <w:t>2</w:t>
            </w:r>
          </w:p>
        </w:tc>
        <w:tc>
          <w:tcPr>
            <w:tcW w:w="1497" w:type="dxa"/>
          </w:tcPr>
          <w:p w14:paraId="74425D23">
            <w:pPr>
              <w:rPr>
                <w:rFonts w:cstheme="minorHAnsi"/>
                <w:sz w:val="18"/>
                <w:szCs w:val="18"/>
              </w:rPr>
            </w:pPr>
            <w:r>
              <w:rPr>
                <w:rFonts w:hint="eastAsia"/>
                <w:sz w:val="18"/>
                <w:szCs w:val="18"/>
              </w:rPr>
              <w:t>现金流出</w:t>
            </w:r>
          </w:p>
        </w:tc>
        <w:tc>
          <w:tcPr>
            <w:tcW w:w="910" w:type="dxa"/>
          </w:tcPr>
          <w:p w14:paraId="30FBF3D6">
            <w:pPr>
              <w:jc w:val="center"/>
              <w:rPr>
                <w:rFonts w:cstheme="minorHAnsi"/>
                <w:sz w:val="18"/>
                <w:szCs w:val="18"/>
              </w:rPr>
            </w:pPr>
            <w:r>
              <w:rPr>
                <w:sz w:val="18"/>
                <w:szCs w:val="18"/>
              </w:rPr>
              <w:t xml:space="preserve"> 3,023.63 </w:t>
            </w:r>
          </w:p>
        </w:tc>
        <w:tc>
          <w:tcPr>
            <w:tcW w:w="841" w:type="dxa"/>
          </w:tcPr>
          <w:p w14:paraId="4CC636C7">
            <w:pPr>
              <w:jc w:val="center"/>
              <w:rPr>
                <w:rFonts w:cstheme="minorHAnsi"/>
                <w:sz w:val="18"/>
                <w:szCs w:val="18"/>
              </w:rPr>
            </w:pPr>
            <w:r>
              <w:rPr>
                <w:sz w:val="18"/>
                <w:szCs w:val="18"/>
              </w:rPr>
              <w:t xml:space="preserve"> 769.63 </w:t>
            </w:r>
          </w:p>
        </w:tc>
        <w:tc>
          <w:tcPr>
            <w:tcW w:w="840" w:type="dxa"/>
          </w:tcPr>
          <w:p w14:paraId="6B30488E">
            <w:pPr>
              <w:jc w:val="center"/>
              <w:rPr>
                <w:rFonts w:cstheme="minorHAnsi"/>
                <w:sz w:val="18"/>
                <w:szCs w:val="18"/>
              </w:rPr>
            </w:pPr>
            <w:r>
              <w:rPr>
                <w:sz w:val="18"/>
                <w:szCs w:val="18"/>
              </w:rPr>
              <w:t xml:space="preserve"> 769.63 </w:t>
            </w:r>
          </w:p>
        </w:tc>
        <w:tc>
          <w:tcPr>
            <w:tcW w:w="840" w:type="dxa"/>
          </w:tcPr>
          <w:p w14:paraId="365C6EBD">
            <w:pPr>
              <w:jc w:val="center"/>
              <w:rPr>
                <w:rFonts w:cstheme="minorHAnsi"/>
                <w:sz w:val="18"/>
                <w:szCs w:val="18"/>
              </w:rPr>
            </w:pPr>
            <w:r>
              <w:rPr>
                <w:sz w:val="18"/>
                <w:szCs w:val="18"/>
              </w:rPr>
              <w:t xml:space="preserve"> 769.63 </w:t>
            </w:r>
          </w:p>
        </w:tc>
        <w:tc>
          <w:tcPr>
            <w:tcW w:w="839" w:type="dxa"/>
          </w:tcPr>
          <w:p w14:paraId="13112BF1">
            <w:pPr>
              <w:jc w:val="center"/>
              <w:rPr>
                <w:rFonts w:cstheme="minorHAnsi"/>
                <w:sz w:val="18"/>
                <w:szCs w:val="18"/>
              </w:rPr>
            </w:pPr>
            <w:r>
              <w:rPr>
                <w:sz w:val="18"/>
                <w:szCs w:val="18"/>
              </w:rPr>
              <w:t xml:space="preserve"> 769.63 </w:t>
            </w:r>
          </w:p>
        </w:tc>
        <w:tc>
          <w:tcPr>
            <w:tcW w:w="839" w:type="dxa"/>
          </w:tcPr>
          <w:p w14:paraId="14CF89E1">
            <w:pPr>
              <w:jc w:val="center"/>
              <w:rPr>
                <w:rFonts w:cstheme="minorHAnsi"/>
                <w:sz w:val="18"/>
                <w:szCs w:val="18"/>
              </w:rPr>
            </w:pPr>
            <w:r>
              <w:rPr>
                <w:sz w:val="18"/>
                <w:szCs w:val="18"/>
              </w:rPr>
              <w:t xml:space="preserve"> 769.63 </w:t>
            </w:r>
          </w:p>
        </w:tc>
        <w:tc>
          <w:tcPr>
            <w:tcW w:w="839" w:type="dxa"/>
          </w:tcPr>
          <w:p w14:paraId="78E94198">
            <w:pPr>
              <w:jc w:val="center"/>
              <w:rPr>
                <w:rFonts w:cstheme="minorHAnsi"/>
                <w:sz w:val="18"/>
                <w:szCs w:val="18"/>
              </w:rPr>
            </w:pPr>
            <w:r>
              <w:rPr>
                <w:sz w:val="18"/>
                <w:szCs w:val="18"/>
              </w:rPr>
              <w:t xml:space="preserve"> 769.63 </w:t>
            </w:r>
          </w:p>
        </w:tc>
        <w:tc>
          <w:tcPr>
            <w:tcW w:w="839" w:type="dxa"/>
          </w:tcPr>
          <w:p w14:paraId="278661A7">
            <w:pPr>
              <w:jc w:val="center"/>
              <w:rPr>
                <w:rFonts w:cstheme="minorHAnsi"/>
                <w:sz w:val="18"/>
                <w:szCs w:val="18"/>
              </w:rPr>
            </w:pPr>
            <w:r>
              <w:rPr>
                <w:sz w:val="18"/>
                <w:szCs w:val="18"/>
              </w:rPr>
              <w:t xml:space="preserve"> 769.63 </w:t>
            </w:r>
          </w:p>
        </w:tc>
        <w:tc>
          <w:tcPr>
            <w:tcW w:w="839" w:type="dxa"/>
          </w:tcPr>
          <w:p w14:paraId="695CF9D7">
            <w:pPr>
              <w:jc w:val="center"/>
              <w:rPr>
                <w:rFonts w:cstheme="minorHAnsi"/>
                <w:sz w:val="18"/>
                <w:szCs w:val="18"/>
              </w:rPr>
            </w:pPr>
            <w:r>
              <w:rPr>
                <w:sz w:val="18"/>
                <w:szCs w:val="18"/>
              </w:rPr>
              <w:t xml:space="preserve"> 771.21 </w:t>
            </w:r>
          </w:p>
        </w:tc>
        <w:tc>
          <w:tcPr>
            <w:tcW w:w="839" w:type="dxa"/>
          </w:tcPr>
          <w:p w14:paraId="2EE99375">
            <w:pPr>
              <w:jc w:val="center"/>
              <w:rPr>
                <w:rFonts w:cstheme="minorHAnsi"/>
                <w:sz w:val="18"/>
                <w:szCs w:val="18"/>
              </w:rPr>
            </w:pPr>
            <w:r>
              <w:rPr>
                <w:sz w:val="18"/>
                <w:szCs w:val="18"/>
              </w:rPr>
              <w:t xml:space="preserve"> 777.56 </w:t>
            </w:r>
          </w:p>
        </w:tc>
        <w:tc>
          <w:tcPr>
            <w:tcW w:w="839" w:type="dxa"/>
          </w:tcPr>
          <w:p w14:paraId="51CACDFD">
            <w:pPr>
              <w:jc w:val="center"/>
              <w:rPr>
                <w:rFonts w:cstheme="minorHAnsi"/>
                <w:sz w:val="18"/>
                <w:szCs w:val="18"/>
              </w:rPr>
            </w:pPr>
            <w:r>
              <w:rPr>
                <w:sz w:val="18"/>
                <w:szCs w:val="18"/>
              </w:rPr>
              <w:t xml:space="preserve"> 779.63 </w:t>
            </w:r>
          </w:p>
        </w:tc>
        <w:tc>
          <w:tcPr>
            <w:tcW w:w="839" w:type="dxa"/>
          </w:tcPr>
          <w:p w14:paraId="6C4D3E9F">
            <w:pPr>
              <w:jc w:val="center"/>
              <w:rPr>
                <w:rFonts w:cstheme="minorHAnsi"/>
                <w:sz w:val="18"/>
                <w:szCs w:val="18"/>
              </w:rPr>
            </w:pPr>
            <w:r>
              <w:rPr>
                <w:sz w:val="18"/>
                <w:szCs w:val="18"/>
              </w:rPr>
              <w:t xml:space="preserve"> 781.76 </w:t>
            </w:r>
          </w:p>
        </w:tc>
        <w:tc>
          <w:tcPr>
            <w:tcW w:w="839" w:type="dxa"/>
          </w:tcPr>
          <w:p w14:paraId="6A684030">
            <w:pPr>
              <w:jc w:val="center"/>
              <w:rPr>
                <w:rFonts w:cstheme="minorHAnsi"/>
                <w:sz w:val="18"/>
                <w:szCs w:val="18"/>
              </w:rPr>
            </w:pPr>
            <w:r>
              <w:rPr>
                <w:sz w:val="18"/>
                <w:szCs w:val="18"/>
              </w:rPr>
              <w:t xml:space="preserve"> 783.98 </w:t>
            </w:r>
          </w:p>
        </w:tc>
        <w:tc>
          <w:tcPr>
            <w:tcW w:w="839" w:type="dxa"/>
          </w:tcPr>
          <w:p w14:paraId="3C7356F7">
            <w:pPr>
              <w:jc w:val="center"/>
              <w:rPr>
                <w:rFonts w:cstheme="minorHAnsi"/>
                <w:sz w:val="18"/>
                <w:szCs w:val="18"/>
              </w:rPr>
            </w:pPr>
            <w:r>
              <w:rPr>
                <w:sz w:val="18"/>
                <w:szCs w:val="18"/>
              </w:rPr>
              <w:t xml:space="preserve"> 786.27 </w:t>
            </w:r>
          </w:p>
        </w:tc>
        <w:tc>
          <w:tcPr>
            <w:tcW w:w="839" w:type="dxa"/>
          </w:tcPr>
          <w:p w14:paraId="2FDC204B">
            <w:pPr>
              <w:jc w:val="center"/>
              <w:rPr>
                <w:rFonts w:cstheme="minorHAnsi"/>
                <w:sz w:val="18"/>
                <w:szCs w:val="18"/>
              </w:rPr>
            </w:pPr>
            <w:r>
              <w:rPr>
                <w:sz w:val="18"/>
                <w:szCs w:val="18"/>
              </w:rPr>
              <w:t xml:space="preserve"> 788.64 </w:t>
            </w:r>
          </w:p>
        </w:tc>
      </w:tr>
      <w:tr w14:paraId="403D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15" w:type="dxa"/>
          </w:tcPr>
          <w:p w14:paraId="79430B9E">
            <w:pPr>
              <w:rPr>
                <w:rFonts w:cstheme="minorHAnsi"/>
                <w:sz w:val="18"/>
                <w:szCs w:val="18"/>
              </w:rPr>
            </w:pPr>
            <w:r>
              <w:rPr>
                <w:sz w:val="18"/>
                <w:szCs w:val="18"/>
              </w:rPr>
              <w:t>2.1</w:t>
            </w:r>
          </w:p>
        </w:tc>
        <w:tc>
          <w:tcPr>
            <w:tcW w:w="1497" w:type="dxa"/>
          </w:tcPr>
          <w:p w14:paraId="1C21923A">
            <w:pPr>
              <w:rPr>
                <w:rFonts w:cstheme="minorHAnsi"/>
                <w:sz w:val="18"/>
                <w:szCs w:val="18"/>
              </w:rPr>
            </w:pPr>
            <w:r>
              <w:rPr>
                <w:rFonts w:hint="eastAsia"/>
                <w:sz w:val="18"/>
                <w:szCs w:val="18"/>
              </w:rPr>
              <w:t>项目资本金</w:t>
            </w:r>
          </w:p>
        </w:tc>
        <w:tc>
          <w:tcPr>
            <w:tcW w:w="910" w:type="dxa"/>
          </w:tcPr>
          <w:p w14:paraId="4EF38F37">
            <w:pPr>
              <w:jc w:val="center"/>
              <w:rPr>
                <w:rFonts w:cstheme="minorHAnsi"/>
                <w:sz w:val="18"/>
                <w:szCs w:val="18"/>
              </w:rPr>
            </w:pPr>
            <w:r>
              <w:rPr>
                <w:sz w:val="18"/>
                <w:szCs w:val="18"/>
              </w:rPr>
              <w:t xml:space="preserve"> 2,254.00 </w:t>
            </w:r>
          </w:p>
        </w:tc>
        <w:tc>
          <w:tcPr>
            <w:tcW w:w="841" w:type="dxa"/>
          </w:tcPr>
          <w:p w14:paraId="70CA0A24">
            <w:pPr>
              <w:jc w:val="center"/>
              <w:rPr>
                <w:rFonts w:cstheme="minorHAnsi"/>
                <w:sz w:val="18"/>
                <w:szCs w:val="18"/>
              </w:rPr>
            </w:pPr>
          </w:p>
        </w:tc>
        <w:tc>
          <w:tcPr>
            <w:tcW w:w="840" w:type="dxa"/>
          </w:tcPr>
          <w:p w14:paraId="11F40D21">
            <w:pPr>
              <w:jc w:val="center"/>
              <w:rPr>
                <w:rFonts w:cstheme="minorHAnsi"/>
                <w:sz w:val="18"/>
                <w:szCs w:val="18"/>
              </w:rPr>
            </w:pPr>
          </w:p>
        </w:tc>
        <w:tc>
          <w:tcPr>
            <w:tcW w:w="840" w:type="dxa"/>
          </w:tcPr>
          <w:p w14:paraId="5AA85CD0">
            <w:pPr>
              <w:jc w:val="center"/>
              <w:rPr>
                <w:rFonts w:cstheme="minorHAnsi"/>
                <w:sz w:val="18"/>
                <w:szCs w:val="18"/>
              </w:rPr>
            </w:pPr>
            <w:r>
              <w:rPr>
                <w:sz w:val="18"/>
                <w:szCs w:val="18"/>
              </w:rPr>
              <w:t xml:space="preserve">  </w:t>
            </w:r>
          </w:p>
        </w:tc>
        <w:tc>
          <w:tcPr>
            <w:tcW w:w="839" w:type="dxa"/>
          </w:tcPr>
          <w:p w14:paraId="07FD8FC0">
            <w:pPr>
              <w:jc w:val="center"/>
              <w:rPr>
                <w:rFonts w:cstheme="minorHAnsi"/>
                <w:sz w:val="18"/>
                <w:szCs w:val="18"/>
              </w:rPr>
            </w:pPr>
            <w:r>
              <w:rPr>
                <w:sz w:val="18"/>
                <w:szCs w:val="18"/>
              </w:rPr>
              <w:t xml:space="preserve">  </w:t>
            </w:r>
          </w:p>
        </w:tc>
        <w:tc>
          <w:tcPr>
            <w:tcW w:w="839" w:type="dxa"/>
          </w:tcPr>
          <w:p w14:paraId="258079B7">
            <w:pPr>
              <w:jc w:val="center"/>
              <w:rPr>
                <w:rFonts w:cstheme="minorHAnsi"/>
                <w:sz w:val="18"/>
                <w:szCs w:val="18"/>
              </w:rPr>
            </w:pPr>
            <w:r>
              <w:rPr>
                <w:sz w:val="18"/>
                <w:szCs w:val="18"/>
              </w:rPr>
              <w:t xml:space="preserve">  </w:t>
            </w:r>
          </w:p>
        </w:tc>
        <w:tc>
          <w:tcPr>
            <w:tcW w:w="839" w:type="dxa"/>
          </w:tcPr>
          <w:p w14:paraId="4CCA2777">
            <w:pPr>
              <w:jc w:val="center"/>
              <w:rPr>
                <w:rFonts w:cstheme="minorHAnsi"/>
                <w:sz w:val="18"/>
                <w:szCs w:val="18"/>
              </w:rPr>
            </w:pPr>
            <w:r>
              <w:rPr>
                <w:sz w:val="18"/>
                <w:szCs w:val="18"/>
              </w:rPr>
              <w:t xml:space="preserve">  </w:t>
            </w:r>
          </w:p>
        </w:tc>
        <w:tc>
          <w:tcPr>
            <w:tcW w:w="839" w:type="dxa"/>
          </w:tcPr>
          <w:p w14:paraId="0258CCBD">
            <w:pPr>
              <w:jc w:val="center"/>
              <w:rPr>
                <w:rFonts w:cstheme="minorHAnsi"/>
                <w:sz w:val="18"/>
                <w:szCs w:val="18"/>
              </w:rPr>
            </w:pPr>
            <w:r>
              <w:rPr>
                <w:sz w:val="18"/>
                <w:szCs w:val="18"/>
              </w:rPr>
              <w:t xml:space="preserve">  </w:t>
            </w:r>
          </w:p>
        </w:tc>
        <w:tc>
          <w:tcPr>
            <w:tcW w:w="839" w:type="dxa"/>
          </w:tcPr>
          <w:p w14:paraId="23B30D3C">
            <w:pPr>
              <w:jc w:val="center"/>
              <w:rPr>
                <w:rFonts w:cstheme="minorHAnsi"/>
                <w:sz w:val="18"/>
                <w:szCs w:val="18"/>
              </w:rPr>
            </w:pPr>
            <w:r>
              <w:rPr>
                <w:sz w:val="18"/>
                <w:szCs w:val="18"/>
              </w:rPr>
              <w:t xml:space="preserve">  </w:t>
            </w:r>
          </w:p>
        </w:tc>
        <w:tc>
          <w:tcPr>
            <w:tcW w:w="839" w:type="dxa"/>
          </w:tcPr>
          <w:p w14:paraId="270F6E79">
            <w:pPr>
              <w:jc w:val="center"/>
              <w:rPr>
                <w:rFonts w:cstheme="minorHAnsi"/>
                <w:sz w:val="18"/>
                <w:szCs w:val="18"/>
              </w:rPr>
            </w:pPr>
            <w:r>
              <w:rPr>
                <w:sz w:val="18"/>
                <w:szCs w:val="18"/>
              </w:rPr>
              <w:t xml:space="preserve">  </w:t>
            </w:r>
          </w:p>
        </w:tc>
        <w:tc>
          <w:tcPr>
            <w:tcW w:w="839" w:type="dxa"/>
          </w:tcPr>
          <w:p w14:paraId="160DE0DD">
            <w:pPr>
              <w:jc w:val="center"/>
              <w:rPr>
                <w:rFonts w:cstheme="minorHAnsi"/>
                <w:sz w:val="18"/>
                <w:szCs w:val="18"/>
              </w:rPr>
            </w:pPr>
            <w:r>
              <w:rPr>
                <w:sz w:val="18"/>
                <w:szCs w:val="18"/>
              </w:rPr>
              <w:t xml:space="preserve">  </w:t>
            </w:r>
          </w:p>
        </w:tc>
        <w:tc>
          <w:tcPr>
            <w:tcW w:w="839" w:type="dxa"/>
          </w:tcPr>
          <w:p w14:paraId="2D784E03">
            <w:pPr>
              <w:jc w:val="center"/>
              <w:rPr>
                <w:rFonts w:cstheme="minorHAnsi"/>
                <w:sz w:val="18"/>
                <w:szCs w:val="18"/>
              </w:rPr>
            </w:pPr>
            <w:r>
              <w:rPr>
                <w:sz w:val="18"/>
                <w:szCs w:val="18"/>
              </w:rPr>
              <w:t xml:space="preserve">  </w:t>
            </w:r>
          </w:p>
        </w:tc>
        <w:tc>
          <w:tcPr>
            <w:tcW w:w="839" w:type="dxa"/>
          </w:tcPr>
          <w:p w14:paraId="7B5586C1">
            <w:pPr>
              <w:jc w:val="center"/>
              <w:rPr>
                <w:rFonts w:cstheme="minorHAnsi"/>
                <w:sz w:val="18"/>
                <w:szCs w:val="18"/>
              </w:rPr>
            </w:pPr>
            <w:r>
              <w:rPr>
                <w:sz w:val="18"/>
                <w:szCs w:val="18"/>
              </w:rPr>
              <w:t xml:space="preserve">  </w:t>
            </w:r>
          </w:p>
        </w:tc>
        <w:tc>
          <w:tcPr>
            <w:tcW w:w="839" w:type="dxa"/>
          </w:tcPr>
          <w:p w14:paraId="1B1F86C3">
            <w:pPr>
              <w:jc w:val="center"/>
              <w:rPr>
                <w:rFonts w:cstheme="minorHAnsi"/>
                <w:sz w:val="18"/>
                <w:szCs w:val="18"/>
              </w:rPr>
            </w:pPr>
            <w:r>
              <w:rPr>
                <w:sz w:val="18"/>
                <w:szCs w:val="18"/>
              </w:rPr>
              <w:t xml:space="preserve">  </w:t>
            </w:r>
          </w:p>
        </w:tc>
        <w:tc>
          <w:tcPr>
            <w:tcW w:w="839" w:type="dxa"/>
          </w:tcPr>
          <w:p w14:paraId="2381A901">
            <w:pPr>
              <w:jc w:val="center"/>
              <w:rPr>
                <w:rFonts w:cstheme="minorHAnsi"/>
                <w:sz w:val="18"/>
                <w:szCs w:val="18"/>
              </w:rPr>
            </w:pPr>
            <w:r>
              <w:rPr>
                <w:sz w:val="18"/>
                <w:szCs w:val="18"/>
              </w:rPr>
              <w:t xml:space="preserve">  </w:t>
            </w:r>
          </w:p>
        </w:tc>
      </w:tr>
      <w:tr w14:paraId="5974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15" w:type="dxa"/>
          </w:tcPr>
          <w:p w14:paraId="0ADC960C">
            <w:pPr>
              <w:rPr>
                <w:rFonts w:cstheme="minorHAnsi"/>
                <w:sz w:val="18"/>
                <w:szCs w:val="18"/>
              </w:rPr>
            </w:pPr>
            <w:r>
              <w:rPr>
                <w:sz w:val="18"/>
                <w:szCs w:val="18"/>
              </w:rPr>
              <w:t>2.2</w:t>
            </w:r>
          </w:p>
        </w:tc>
        <w:tc>
          <w:tcPr>
            <w:tcW w:w="1497" w:type="dxa"/>
          </w:tcPr>
          <w:p w14:paraId="4B74EEED">
            <w:pPr>
              <w:rPr>
                <w:rFonts w:cstheme="minorHAnsi"/>
                <w:sz w:val="18"/>
                <w:szCs w:val="18"/>
              </w:rPr>
            </w:pPr>
            <w:r>
              <w:rPr>
                <w:rFonts w:hint="eastAsia"/>
                <w:sz w:val="18"/>
                <w:szCs w:val="18"/>
              </w:rPr>
              <w:t>借款本金偿还</w:t>
            </w:r>
          </w:p>
        </w:tc>
        <w:tc>
          <w:tcPr>
            <w:tcW w:w="910" w:type="dxa"/>
          </w:tcPr>
          <w:p w14:paraId="5FFEC626">
            <w:pPr>
              <w:jc w:val="center"/>
              <w:rPr>
                <w:rFonts w:cstheme="minorHAnsi"/>
                <w:sz w:val="18"/>
                <w:szCs w:val="18"/>
              </w:rPr>
            </w:pPr>
            <w:r>
              <w:rPr>
                <w:sz w:val="18"/>
                <w:szCs w:val="18"/>
              </w:rPr>
              <w:t xml:space="preserve"> 166.65 </w:t>
            </w:r>
          </w:p>
        </w:tc>
        <w:tc>
          <w:tcPr>
            <w:tcW w:w="841" w:type="dxa"/>
          </w:tcPr>
          <w:p w14:paraId="4C0487A8">
            <w:pPr>
              <w:jc w:val="center"/>
              <w:rPr>
                <w:rFonts w:cstheme="minorHAnsi"/>
                <w:sz w:val="18"/>
                <w:szCs w:val="18"/>
              </w:rPr>
            </w:pPr>
            <w:r>
              <w:rPr>
                <w:sz w:val="18"/>
                <w:szCs w:val="18"/>
              </w:rPr>
              <w:t xml:space="preserve"> 172.65 </w:t>
            </w:r>
          </w:p>
        </w:tc>
        <w:tc>
          <w:tcPr>
            <w:tcW w:w="840" w:type="dxa"/>
          </w:tcPr>
          <w:p w14:paraId="64D5086D">
            <w:pPr>
              <w:jc w:val="center"/>
              <w:rPr>
                <w:rFonts w:cstheme="minorHAnsi"/>
                <w:sz w:val="18"/>
                <w:szCs w:val="18"/>
              </w:rPr>
            </w:pPr>
            <w:r>
              <w:rPr>
                <w:sz w:val="18"/>
                <w:szCs w:val="18"/>
              </w:rPr>
              <w:t xml:space="preserve"> 178.87 </w:t>
            </w:r>
          </w:p>
        </w:tc>
        <w:tc>
          <w:tcPr>
            <w:tcW w:w="840" w:type="dxa"/>
          </w:tcPr>
          <w:p w14:paraId="5BB139FA">
            <w:pPr>
              <w:jc w:val="center"/>
              <w:rPr>
                <w:rFonts w:cstheme="minorHAnsi"/>
                <w:sz w:val="18"/>
                <w:szCs w:val="18"/>
              </w:rPr>
            </w:pPr>
            <w:r>
              <w:rPr>
                <w:sz w:val="18"/>
                <w:szCs w:val="18"/>
              </w:rPr>
              <w:t xml:space="preserve"> 185.31 </w:t>
            </w:r>
          </w:p>
        </w:tc>
        <w:tc>
          <w:tcPr>
            <w:tcW w:w="839" w:type="dxa"/>
          </w:tcPr>
          <w:p w14:paraId="390A19BE">
            <w:pPr>
              <w:jc w:val="center"/>
              <w:rPr>
                <w:rFonts w:cstheme="minorHAnsi"/>
                <w:sz w:val="18"/>
                <w:szCs w:val="18"/>
              </w:rPr>
            </w:pPr>
            <w:r>
              <w:rPr>
                <w:sz w:val="18"/>
                <w:szCs w:val="18"/>
              </w:rPr>
              <w:t xml:space="preserve"> 191.98 </w:t>
            </w:r>
          </w:p>
        </w:tc>
        <w:tc>
          <w:tcPr>
            <w:tcW w:w="839" w:type="dxa"/>
          </w:tcPr>
          <w:p w14:paraId="538A5368">
            <w:pPr>
              <w:jc w:val="center"/>
              <w:rPr>
                <w:rFonts w:cstheme="minorHAnsi"/>
                <w:sz w:val="18"/>
                <w:szCs w:val="18"/>
              </w:rPr>
            </w:pPr>
            <w:r>
              <w:rPr>
                <w:sz w:val="18"/>
                <w:szCs w:val="18"/>
              </w:rPr>
              <w:t xml:space="preserve"> 198.89 </w:t>
            </w:r>
          </w:p>
        </w:tc>
        <w:tc>
          <w:tcPr>
            <w:tcW w:w="839" w:type="dxa"/>
          </w:tcPr>
          <w:p w14:paraId="7CAE9E42">
            <w:pPr>
              <w:jc w:val="center"/>
              <w:rPr>
                <w:rFonts w:cstheme="minorHAnsi"/>
                <w:sz w:val="18"/>
                <w:szCs w:val="18"/>
              </w:rPr>
            </w:pPr>
            <w:r>
              <w:rPr>
                <w:sz w:val="18"/>
                <w:szCs w:val="18"/>
              </w:rPr>
              <w:t xml:space="preserve"> 206.05 </w:t>
            </w:r>
          </w:p>
        </w:tc>
        <w:tc>
          <w:tcPr>
            <w:tcW w:w="839" w:type="dxa"/>
          </w:tcPr>
          <w:p w14:paraId="51FA563E">
            <w:pPr>
              <w:jc w:val="center"/>
              <w:rPr>
                <w:rFonts w:cstheme="minorHAnsi"/>
                <w:sz w:val="18"/>
                <w:szCs w:val="18"/>
              </w:rPr>
            </w:pPr>
            <w:r>
              <w:rPr>
                <w:sz w:val="18"/>
                <w:szCs w:val="18"/>
              </w:rPr>
              <w:t xml:space="preserve"> 213.47 </w:t>
            </w:r>
          </w:p>
        </w:tc>
        <w:tc>
          <w:tcPr>
            <w:tcW w:w="839" w:type="dxa"/>
          </w:tcPr>
          <w:p w14:paraId="0BCB6391">
            <w:pPr>
              <w:jc w:val="center"/>
              <w:rPr>
                <w:rFonts w:cstheme="minorHAnsi"/>
                <w:sz w:val="18"/>
                <w:szCs w:val="18"/>
              </w:rPr>
            </w:pPr>
            <w:r>
              <w:rPr>
                <w:sz w:val="18"/>
                <w:szCs w:val="18"/>
              </w:rPr>
              <w:t xml:space="preserve"> 221.15 </w:t>
            </w:r>
          </w:p>
        </w:tc>
        <w:tc>
          <w:tcPr>
            <w:tcW w:w="839" w:type="dxa"/>
          </w:tcPr>
          <w:p w14:paraId="14B75964">
            <w:pPr>
              <w:jc w:val="center"/>
              <w:rPr>
                <w:rFonts w:cstheme="minorHAnsi"/>
                <w:sz w:val="18"/>
                <w:szCs w:val="18"/>
              </w:rPr>
            </w:pPr>
            <w:r>
              <w:rPr>
                <w:sz w:val="18"/>
                <w:szCs w:val="18"/>
              </w:rPr>
              <w:t xml:space="preserve"> 229.11 </w:t>
            </w:r>
          </w:p>
        </w:tc>
        <w:tc>
          <w:tcPr>
            <w:tcW w:w="839" w:type="dxa"/>
          </w:tcPr>
          <w:p w14:paraId="58ED0F25">
            <w:pPr>
              <w:jc w:val="center"/>
              <w:rPr>
                <w:rFonts w:cstheme="minorHAnsi"/>
                <w:sz w:val="18"/>
                <w:szCs w:val="18"/>
              </w:rPr>
            </w:pPr>
            <w:r>
              <w:rPr>
                <w:sz w:val="18"/>
                <w:szCs w:val="18"/>
              </w:rPr>
              <w:t xml:space="preserve"> 237.36 </w:t>
            </w:r>
          </w:p>
        </w:tc>
        <w:tc>
          <w:tcPr>
            <w:tcW w:w="839" w:type="dxa"/>
          </w:tcPr>
          <w:p w14:paraId="196AD2AA">
            <w:pPr>
              <w:jc w:val="center"/>
              <w:rPr>
                <w:rFonts w:cstheme="minorHAnsi"/>
                <w:sz w:val="18"/>
                <w:szCs w:val="18"/>
              </w:rPr>
            </w:pPr>
            <w:r>
              <w:rPr>
                <w:sz w:val="18"/>
                <w:szCs w:val="18"/>
              </w:rPr>
              <w:t xml:space="preserve"> 245.91 </w:t>
            </w:r>
          </w:p>
        </w:tc>
        <w:tc>
          <w:tcPr>
            <w:tcW w:w="839" w:type="dxa"/>
          </w:tcPr>
          <w:p w14:paraId="32207D87">
            <w:pPr>
              <w:jc w:val="center"/>
              <w:rPr>
                <w:rFonts w:cstheme="minorHAnsi"/>
                <w:sz w:val="18"/>
                <w:szCs w:val="18"/>
              </w:rPr>
            </w:pPr>
            <w:r>
              <w:rPr>
                <w:sz w:val="18"/>
                <w:szCs w:val="18"/>
              </w:rPr>
              <w:t xml:space="preserve"> 254.76 </w:t>
            </w:r>
          </w:p>
        </w:tc>
        <w:tc>
          <w:tcPr>
            <w:tcW w:w="839" w:type="dxa"/>
          </w:tcPr>
          <w:p w14:paraId="237C7F9B">
            <w:pPr>
              <w:jc w:val="center"/>
              <w:rPr>
                <w:rFonts w:cstheme="minorHAnsi"/>
                <w:sz w:val="18"/>
                <w:szCs w:val="18"/>
              </w:rPr>
            </w:pPr>
            <w:r>
              <w:rPr>
                <w:sz w:val="18"/>
                <w:szCs w:val="18"/>
              </w:rPr>
              <w:t xml:space="preserve"> 263.93 </w:t>
            </w:r>
          </w:p>
        </w:tc>
        <w:tc>
          <w:tcPr>
            <w:tcW w:w="839" w:type="dxa"/>
          </w:tcPr>
          <w:p w14:paraId="7A3835CC">
            <w:pPr>
              <w:jc w:val="center"/>
              <w:rPr>
                <w:rFonts w:cstheme="minorHAnsi"/>
                <w:sz w:val="18"/>
                <w:szCs w:val="18"/>
              </w:rPr>
            </w:pPr>
            <w:r>
              <w:rPr>
                <w:sz w:val="18"/>
                <w:szCs w:val="18"/>
              </w:rPr>
              <w:t xml:space="preserve"> 273.43 </w:t>
            </w:r>
          </w:p>
        </w:tc>
      </w:tr>
      <w:tr w14:paraId="4554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15" w:type="dxa"/>
          </w:tcPr>
          <w:p w14:paraId="6F1575AD">
            <w:pPr>
              <w:rPr>
                <w:rFonts w:cstheme="minorHAnsi"/>
                <w:sz w:val="18"/>
                <w:szCs w:val="18"/>
              </w:rPr>
            </w:pPr>
            <w:r>
              <w:rPr>
                <w:sz w:val="18"/>
                <w:szCs w:val="18"/>
              </w:rPr>
              <w:t>2.3</w:t>
            </w:r>
          </w:p>
        </w:tc>
        <w:tc>
          <w:tcPr>
            <w:tcW w:w="1497" w:type="dxa"/>
          </w:tcPr>
          <w:p w14:paraId="25505BB2">
            <w:pPr>
              <w:rPr>
                <w:rFonts w:cstheme="minorHAnsi"/>
                <w:sz w:val="18"/>
                <w:szCs w:val="18"/>
              </w:rPr>
            </w:pPr>
            <w:r>
              <w:rPr>
                <w:rFonts w:hint="eastAsia"/>
                <w:sz w:val="18"/>
                <w:szCs w:val="18"/>
              </w:rPr>
              <w:t>借款利息支付</w:t>
            </w:r>
          </w:p>
        </w:tc>
        <w:tc>
          <w:tcPr>
            <w:tcW w:w="910" w:type="dxa"/>
          </w:tcPr>
          <w:p w14:paraId="16DA7A3B">
            <w:pPr>
              <w:jc w:val="center"/>
              <w:rPr>
                <w:rFonts w:cstheme="minorHAnsi"/>
                <w:sz w:val="18"/>
                <w:szCs w:val="18"/>
              </w:rPr>
            </w:pPr>
            <w:r>
              <w:rPr>
                <w:sz w:val="18"/>
                <w:szCs w:val="18"/>
              </w:rPr>
              <w:t xml:space="preserve"> 314.86 </w:t>
            </w:r>
          </w:p>
        </w:tc>
        <w:tc>
          <w:tcPr>
            <w:tcW w:w="841" w:type="dxa"/>
          </w:tcPr>
          <w:p w14:paraId="568FF69C">
            <w:pPr>
              <w:jc w:val="center"/>
              <w:rPr>
                <w:rFonts w:cstheme="minorHAnsi"/>
                <w:sz w:val="18"/>
                <w:szCs w:val="18"/>
              </w:rPr>
            </w:pPr>
            <w:r>
              <w:rPr>
                <w:sz w:val="18"/>
                <w:szCs w:val="18"/>
              </w:rPr>
              <w:t xml:space="preserve"> 308.86 </w:t>
            </w:r>
          </w:p>
        </w:tc>
        <w:tc>
          <w:tcPr>
            <w:tcW w:w="840" w:type="dxa"/>
          </w:tcPr>
          <w:p w14:paraId="6BF49BF5">
            <w:pPr>
              <w:jc w:val="center"/>
              <w:rPr>
                <w:rFonts w:cstheme="minorHAnsi"/>
                <w:sz w:val="18"/>
                <w:szCs w:val="18"/>
              </w:rPr>
            </w:pPr>
            <w:r>
              <w:rPr>
                <w:sz w:val="18"/>
                <w:szCs w:val="18"/>
              </w:rPr>
              <w:t xml:space="preserve"> 302.64 </w:t>
            </w:r>
          </w:p>
        </w:tc>
        <w:tc>
          <w:tcPr>
            <w:tcW w:w="840" w:type="dxa"/>
          </w:tcPr>
          <w:p w14:paraId="220FE551">
            <w:pPr>
              <w:jc w:val="center"/>
              <w:rPr>
                <w:rFonts w:cstheme="minorHAnsi"/>
                <w:sz w:val="18"/>
                <w:szCs w:val="18"/>
              </w:rPr>
            </w:pPr>
            <w:r>
              <w:rPr>
                <w:sz w:val="18"/>
                <w:szCs w:val="18"/>
              </w:rPr>
              <w:t xml:space="preserve"> 296.20 </w:t>
            </w:r>
          </w:p>
        </w:tc>
        <w:tc>
          <w:tcPr>
            <w:tcW w:w="839" w:type="dxa"/>
          </w:tcPr>
          <w:p w14:paraId="56DD09B3">
            <w:pPr>
              <w:jc w:val="center"/>
              <w:rPr>
                <w:rFonts w:cstheme="minorHAnsi"/>
                <w:sz w:val="18"/>
                <w:szCs w:val="18"/>
              </w:rPr>
            </w:pPr>
            <w:r>
              <w:rPr>
                <w:sz w:val="18"/>
                <w:szCs w:val="18"/>
              </w:rPr>
              <w:t xml:space="preserve"> 289.53 </w:t>
            </w:r>
          </w:p>
        </w:tc>
        <w:tc>
          <w:tcPr>
            <w:tcW w:w="839" w:type="dxa"/>
          </w:tcPr>
          <w:p w14:paraId="78C9F77C">
            <w:pPr>
              <w:jc w:val="center"/>
              <w:rPr>
                <w:rFonts w:cstheme="minorHAnsi"/>
                <w:sz w:val="18"/>
                <w:szCs w:val="18"/>
              </w:rPr>
            </w:pPr>
            <w:r>
              <w:rPr>
                <w:sz w:val="18"/>
                <w:szCs w:val="18"/>
              </w:rPr>
              <w:t xml:space="preserve"> 282.62 </w:t>
            </w:r>
          </w:p>
        </w:tc>
        <w:tc>
          <w:tcPr>
            <w:tcW w:w="839" w:type="dxa"/>
          </w:tcPr>
          <w:p w14:paraId="7728399E">
            <w:pPr>
              <w:jc w:val="center"/>
              <w:rPr>
                <w:rFonts w:cstheme="minorHAnsi"/>
                <w:sz w:val="18"/>
                <w:szCs w:val="18"/>
              </w:rPr>
            </w:pPr>
            <w:r>
              <w:rPr>
                <w:sz w:val="18"/>
                <w:szCs w:val="18"/>
              </w:rPr>
              <w:t xml:space="preserve"> 275.46 </w:t>
            </w:r>
          </w:p>
        </w:tc>
        <w:tc>
          <w:tcPr>
            <w:tcW w:w="839" w:type="dxa"/>
          </w:tcPr>
          <w:p w14:paraId="5D37600D">
            <w:pPr>
              <w:jc w:val="center"/>
              <w:rPr>
                <w:rFonts w:cstheme="minorHAnsi"/>
                <w:sz w:val="18"/>
                <w:szCs w:val="18"/>
              </w:rPr>
            </w:pPr>
            <w:r>
              <w:rPr>
                <w:sz w:val="18"/>
                <w:szCs w:val="18"/>
              </w:rPr>
              <w:t xml:space="preserve"> 268.04 </w:t>
            </w:r>
          </w:p>
        </w:tc>
        <w:tc>
          <w:tcPr>
            <w:tcW w:w="839" w:type="dxa"/>
          </w:tcPr>
          <w:p w14:paraId="306CC417">
            <w:pPr>
              <w:jc w:val="center"/>
              <w:rPr>
                <w:rFonts w:cstheme="minorHAnsi"/>
                <w:sz w:val="18"/>
                <w:szCs w:val="18"/>
              </w:rPr>
            </w:pPr>
            <w:r>
              <w:rPr>
                <w:sz w:val="18"/>
                <w:szCs w:val="18"/>
              </w:rPr>
              <w:t xml:space="preserve"> 260.36 </w:t>
            </w:r>
          </w:p>
        </w:tc>
        <w:tc>
          <w:tcPr>
            <w:tcW w:w="839" w:type="dxa"/>
          </w:tcPr>
          <w:p w14:paraId="57AB7960">
            <w:pPr>
              <w:jc w:val="center"/>
              <w:rPr>
                <w:rFonts w:cstheme="minorHAnsi"/>
                <w:sz w:val="18"/>
                <w:szCs w:val="18"/>
              </w:rPr>
            </w:pPr>
            <w:r>
              <w:rPr>
                <w:sz w:val="18"/>
                <w:szCs w:val="18"/>
              </w:rPr>
              <w:t xml:space="preserve"> 252.40 </w:t>
            </w:r>
          </w:p>
        </w:tc>
        <w:tc>
          <w:tcPr>
            <w:tcW w:w="839" w:type="dxa"/>
          </w:tcPr>
          <w:p w14:paraId="685C3B9A">
            <w:pPr>
              <w:jc w:val="center"/>
              <w:rPr>
                <w:rFonts w:cstheme="minorHAnsi"/>
                <w:sz w:val="18"/>
                <w:szCs w:val="18"/>
              </w:rPr>
            </w:pPr>
            <w:r>
              <w:rPr>
                <w:sz w:val="18"/>
                <w:szCs w:val="18"/>
              </w:rPr>
              <w:t xml:space="preserve"> 244.15 </w:t>
            </w:r>
          </w:p>
        </w:tc>
        <w:tc>
          <w:tcPr>
            <w:tcW w:w="839" w:type="dxa"/>
          </w:tcPr>
          <w:p w14:paraId="35677A15">
            <w:pPr>
              <w:jc w:val="center"/>
              <w:rPr>
                <w:rFonts w:cstheme="minorHAnsi"/>
                <w:sz w:val="18"/>
                <w:szCs w:val="18"/>
              </w:rPr>
            </w:pPr>
            <w:r>
              <w:rPr>
                <w:sz w:val="18"/>
                <w:szCs w:val="18"/>
              </w:rPr>
              <w:t xml:space="preserve"> 235.60 </w:t>
            </w:r>
          </w:p>
        </w:tc>
        <w:tc>
          <w:tcPr>
            <w:tcW w:w="839" w:type="dxa"/>
          </w:tcPr>
          <w:p w14:paraId="5DC34A20">
            <w:pPr>
              <w:jc w:val="center"/>
              <w:rPr>
                <w:rFonts w:cstheme="minorHAnsi"/>
                <w:sz w:val="18"/>
                <w:szCs w:val="18"/>
              </w:rPr>
            </w:pPr>
            <w:r>
              <w:rPr>
                <w:sz w:val="18"/>
                <w:szCs w:val="18"/>
              </w:rPr>
              <w:t xml:space="preserve"> 226.75 </w:t>
            </w:r>
          </w:p>
        </w:tc>
        <w:tc>
          <w:tcPr>
            <w:tcW w:w="839" w:type="dxa"/>
          </w:tcPr>
          <w:p w14:paraId="27FF86F1">
            <w:pPr>
              <w:jc w:val="center"/>
              <w:rPr>
                <w:rFonts w:cstheme="minorHAnsi"/>
                <w:sz w:val="18"/>
                <w:szCs w:val="18"/>
              </w:rPr>
            </w:pPr>
            <w:r>
              <w:rPr>
                <w:sz w:val="18"/>
                <w:szCs w:val="18"/>
              </w:rPr>
              <w:t xml:space="preserve"> 217.58 </w:t>
            </w:r>
          </w:p>
        </w:tc>
        <w:tc>
          <w:tcPr>
            <w:tcW w:w="839" w:type="dxa"/>
          </w:tcPr>
          <w:p w14:paraId="10E892D0">
            <w:pPr>
              <w:jc w:val="center"/>
              <w:rPr>
                <w:rFonts w:cstheme="minorHAnsi"/>
                <w:sz w:val="18"/>
                <w:szCs w:val="18"/>
              </w:rPr>
            </w:pPr>
            <w:r>
              <w:rPr>
                <w:sz w:val="18"/>
                <w:szCs w:val="18"/>
              </w:rPr>
              <w:t xml:space="preserve"> 208.08 </w:t>
            </w:r>
          </w:p>
        </w:tc>
      </w:tr>
      <w:tr w14:paraId="1894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15" w:type="dxa"/>
          </w:tcPr>
          <w:p w14:paraId="63FEA781">
            <w:pPr>
              <w:rPr>
                <w:rFonts w:cstheme="minorHAnsi"/>
                <w:sz w:val="18"/>
                <w:szCs w:val="18"/>
              </w:rPr>
            </w:pPr>
            <w:r>
              <w:rPr>
                <w:sz w:val="18"/>
                <w:szCs w:val="18"/>
              </w:rPr>
              <w:t>2.4</w:t>
            </w:r>
          </w:p>
        </w:tc>
        <w:tc>
          <w:tcPr>
            <w:tcW w:w="1497" w:type="dxa"/>
          </w:tcPr>
          <w:p w14:paraId="3B6CE445">
            <w:pPr>
              <w:rPr>
                <w:rFonts w:cstheme="minorHAnsi"/>
                <w:sz w:val="18"/>
                <w:szCs w:val="18"/>
              </w:rPr>
            </w:pPr>
            <w:r>
              <w:rPr>
                <w:rFonts w:hint="eastAsia"/>
                <w:sz w:val="18"/>
                <w:szCs w:val="18"/>
              </w:rPr>
              <w:t>经营成本（含税）</w:t>
            </w:r>
          </w:p>
        </w:tc>
        <w:tc>
          <w:tcPr>
            <w:tcW w:w="910" w:type="dxa"/>
          </w:tcPr>
          <w:p w14:paraId="5B7DEDD3">
            <w:pPr>
              <w:jc w:val="center"/>
              <w:rPr>
                <w:rFonts w:cstheme="minorHAnsi"/>
                <w:sz w:val="18"/>
                <w:szCs w:val="18"/>
              </w:rPr>
            </w:pPr>
            <w:r>
              <w:rPr>
                <w:sz w:val="18"/>
                <w:szCs w:val="18"/>
              </w:rPr>
              <w:t xml:space="preserve"> 256.25 </w:t>
            </w:r>
          </w:p>
        </w:tc>
        <w:tc>
          <w:tcPr>
            <w:tcW w:w="841" w:type="dxa"/>
          </w:tcPr>
          <w:p w14:paraId="0919B1CA">
            <w:pPr>
              <w:jc w:val="center"/>
              <w:rPr>
                <w:rFonts w:cstheme="minorHAnsi"/>
                <w:sz w:val="18"/>
                <w:szCs w:val="18"/>
              </w:rPr>
            </w:pPr>
            <w:r>
              <w:rPr>
                <w:sz w:val="18"/>
                <w:szCs w:val="18"/>
              </w:rPr>
              <w:t xml:space="preserve"> 256.25 </w:t>
            </w:r>
          </w:p>
        </w:tc>
        <w:tc>
          <w:tcPr>
            <w:tcW w:w="840" w:type="dxa"/>
          </w:tcPr>
          <w:p w14:paraId="39C648B5">
            <w:pPr>
              <w:jc w:val="center"/>
              <w:rPr>
                <w:rFonts w:cstheme="minorHAnsi"/>
                <w:sz w:val="18"/>
                <w:szCs w:val="18"/>
              </w:rPr>
            </w:pPr>
            <w:r>
              <w:rPr>
                <w:sz w:val="18"/>
                <w:szCs w:val="18"/>
              </w:rPr>
              <w:t xml:space="preserve"> 256.25 </w:t>
            </w:r>
          </w:p>
        </w:tc>
        <w:tc>
          <w:tcPr>
            <w:tcW w:w="840" w:type="dxa"/>
          </w:tcPr>
          <w:p w14:paraId="06E015AF">
            <w:pPr>
              <w:jc w:val="center"/>
              <w:rPr>
                <w:rFonts w:cstheme="minorHAnsi"/>
                <w:sz w:val="18"/>
                <w:szCs w:val="18"/>
              </w:rPr>
            </w:pPr>
            <w:r>
              <w:rPr>
                <w:sz w:val="18"/>
                <w:szCs w:val="18"/>
              </w:rPr>
              <w:t xml:space="preserve"> 256.25 </w:t>
            </w:r>
          </w:p>
        </w:tc>
        <w:tc>
          <w:tcPr>
            <w:tcW w:w="839" w:type="dxa"/>
          </w:tcPr>
          <w:p w14:paraId="5DAC8A74">
            <w:pPr>
              <w:jc w:val="center"/>
              <w:rPr>
                <w:rFonts w:cstheme="minorHAnsi"/>
                <w:sz w:val="18"/>
                <w:szCs w:val="18"/>
              </w:rPr>
            </w:pPr>
            <w:r>
              <w:rPr>
                <w:sz w:val="18"/>
                <w:szCs w:val="18"/>
              </w:rPr>
              <w:t xml:space="preserve"> 256.25 </w:t>
            </w:r>
          </w:p>
        </w:tc>
        <w:tc>
          <w:tcPr>
            <w:tcW w:w="839" w:type="dxa"/>
          </w:tcPr>
          <w:p w14:paraId="3F48609A">
            <w:pPr>
              <w:jc w:val="center"/>
              <w:rPr>
                <w:rFonts w:cstheme="minorHAnsi"/>
                <w:sz w:val="18"/>
                <w:szCs w:val="18"/>
              </w:rPr>
            </w:pPr>
            <w:r>
              <w:rPr>
                <w:sz w:val="18"/>
                <w:szCs w:val="18"/>
              </w:rPr>
              <w:t xml:space="preserve"> 256.25 </w:t>
            </w:r>
          </w:p>
        </w:tc>
        <w:tc>
          <w:tcPr>
            <w:tcW w:w="839" w:type="dxa"/>
          </w:tcPr>
          <w:p w14:paraId="56AED354">
            <w:pPr>
              <w:jc w:val="center"/>
              <w:rPr>
                <w:rFonts w:cstheme="minorHAnsi"/>
                <w:sz w:val="18"/>
                <w:szCs w:val="18"/>
              </w:rPr>
            </w:pPr>
            <w:r>
              <w:rPr>
                <w:sz w:val="18"/>
                <w:szCs w:val="18"/>
              </w:rPr>
              <w:t xml:space="preserve"> 256.25 </w:t>
            </w:r>
          </w:p>
        </w:tc>
        <w:tc>
          <w:tcPr>
            <w:tcW w:w="839" w:type="dxa"/>
          </w:tcPr>
          <w:p w14:paraId="0BEE2020">
            <w:pPr>
              <w:jc w:val="center"/>
              <w:rPr>
                <w:rFonts w:cstheme="minorHAnsi"/>
                <w:sz w:val="18"/>
                <w:szCs w:val="18"/>
              </w:rPr>
            </w:pPr>
            <w:r>
              <w:rPr>
                <w:sz w:val="18"/>
                <w:szCs w:val="18"/>
              </w:rPr>
              <w:t xml:space="preserve"> 256.25 </w:t>
            </w:r>
          </w:p>
        </w:tc>
        <w:tc>
          <w:tcPr>
            <w:tcW w:w="839" w:type="dxa"/>
          </w:tcPr>
          <w:p w14:paraId="49532099">
            <w:pPr>
              <w:jc w:val="center"/>
              <w:rPr>
                <w:rFonts w:cstheme="minorHAnsi"/>
                <w:sz w:val="18"/>
                <w:szCs w:val="18"/>
              </w:rPr>
            </w:pPr>
            <w:r>
              <w:rPr>
                <w:sz w:val="18"/>
                <w:szCs w:val="18"/>
              </w:rPr>
              <w:t xml:space="preserve"> 256.25 </w:t>
            </w:r>
          </w:p>
        </w:tc>
        <w:tc>
          <w:tcPr>
            <w:tcW w:w="839" w:type="dxa"/>
          </w:tcPr>
          <w:p w14:paraId="15167789">
            <w:pPr>
              <w:jc w:val="center"/>
              <w:rPr>
                <w:rFonts w:cstheme="minorHAnsi"/>
                <w:sz w:val="18"/>
                <w:szCs w:val="18"/>
              </w:rPr>
            </w:pPr>
            <w:r>
              <w:rPr>
                <w:sz w:val="18"/>
                <w:szCs w:val="18"/>
              </w:rPr>
              <w:t xml:space="preserve"> 256.25 </w:t>
            </w:r>
          </w:p>
        </w:tc>
        <w:tc>
          <w:tcPr>
            <w:tcW w:w="839" w:type="dxa"/>
          </w:tcPr>
          <w:p w14:paraId="19F4701B">
            <w:pPr>
              <w:jc w:val="center"/>
              <w:rPr>
                <w:rFonts w:cstheme="minorHAnsi"/>
                <w:sz w:val="18"/>
                <w:szCs w:val="18"/>
              </w:rPr>
            </w:pPr>
            <w:r>
              <w:rPr>
                <w:sz w:val="18"/>
                <w:szCs w:val="18"/>
              </w:rPr>
              <w:t xml:space="preserve"> 256.25 </w:t>
            </w:r>
          </w:p>
        </w:tc>
        <w:tc>
          <w:tcPr>
            <w:tcW w:w="839" w:type="dxa"/>
          </w:tcPr>
          <w:p w14:paraId="517D6B2A">
            <w:pPr>
              <w:jc w:val="center"/>
              <w:rPr>
                <w:rFonts w:cstheme="minorHAnsi"/>
                <w:sz w:val="18"/>
                <w:szCs w:val="18"/>
              </w:rPr>
            </w:pPr>
            <w:r>
              <w:rPr>
                <w:sz w:val="18"/>
                <w:szCs w:val="18"/>
              </w:rPr>
              <w:t xml:space="preserve"> 256.25 </w:t>
            </w:r>
          </w:p>
        </w:tc>
        <w:tc>
          <w:tcPr>
            <w:tcW w:w="839" w:type="dxa"/>
          </w:tcPr>
          <w:p w14:paraId="5384FC4E">
            <w:pPr>
              <w:jc w:val="center"/>
              <w:rPr>
                <w:rFonts w:cstheme="minorHAnsi"/>
                <w:sz w:val="18"/>
                <w:szCs w:val="18"/>
              </w:rPr>
            </w:pPr>
            <w:r>
              <w:rPr>
                <w:sz w:val="18"/>
                <w:szCs w:val="18"/>
              </w:rPr>
              <w:t xml:space="preserve"> 256.25 </w:t>
            </w:r>
          </w:p>
        </w:tc>
        <w:tc>
          <w:tcPr>
            <w:tcW w:w="839" w:type="dxa"/>
          </w:tcPr>
          <w:p w14:paraId="2FD01234">
            <w:pPr>
              <w:jc w:val="center"/>
              <w:rPr>
                <w:rFonts w:cstheme="minorHAnsi"/>
                <w:sz w:val="18"/>
                <w:szCs w:val="18"/>
              </w:rPr>
            </w:pPr>
            <w:r>
              <w:rPr>
                <w:sz w:val="18"/>
                <w:szCs w:val="18"/>
              </w:rPr>
              <w:t xml:space="preserve"> 256.25 </w:t>
            </w:r>
          </w:p>
        </w:tc>
        <w:tc>
          <w:tcPr>
            <w:tcW w:w="839" w:type="dxa"/>
          </w:tcPr>
          <w:p w14:paraId="5C5734DF">
            <w:pPr>
              <w:jc w:val="center"/>
              <w:rPr>
                <w:rFonts w:cstheme="minorHAnsi"/>
                <w:sz w:val="18"/>
                <w:szCs w:val="18"/>
              </w:rPr>
            </w:pPr>
            <w:r>
              <w:rPr>
                <w:sz w:val="18"/>
                <w:szCs w:val="18"/>
              </w:rPr>
              <w:t xml:space="preserve"> 256.25 </w:t>
            </w:r>
          </w:p>
        </w:tc>
      </w:tr>
      <w:tr w14:paraId="13CE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615" w:type="dxa"/>
          </w:tcPr>
          <w:p w14:paraId="0ADB37BC">
            <w:pPr>
              <w:rPr>
                <w:rFonts w:cstheme="minorHAnsi"/>
                <w:sz w:val="18"/>
                <w:szCs w:val="18"/>
              </w:rPr>
            </w:pPr>
            <w:r>
              <w:rPr>
                <w:sz w:val="18"/>
                <w:szCs w:val="18"/>
              </w:rPr>
              <w:t>2.5</w:t>
            </w:r>
          </w:p>
        </w:tc>
        <w:tc>
          <w:tcPr>
            <w:tcW w:w="1497" w:type="dxa"/>
          </w:tcPr>
          <w:p w14:paraId="16F5EDE2">
            <w:pPr>
              <w:rPr>
                <w:rFonts w:cstheme="minorHAnsi"/>
                <w:sz w:val="18"/>
                <w:szCs w:val="18"/>
              </w:rPr>
            </w:pPr>
            <w:r>
              <w:rPr>
                <w:rFonts w:hint="eastAsia"/>
                <w:sz w:val="18"/>
                <w:szCs w:val="18"/>
              </w:rPr>
              <w:t>增值税</w:t>
            </w:r>
          </w:p>
        </w:tc>
        <w:tc>
          <w:tcPr>
            <w:tcW w:w="910" w:type="dxa"/>
          </w:tcPr>
          <w:p w14:paraId="73B3AE9F">
            <w:pPr>
              <w:jc w:val="center"/>
              <w:rPr>
                <w:rFonts w:cstheme="minorHAnsi"/>
                <w:sz w:val="18"/>
                <w:szCs w:val="18"/>
              </w:rPr>
            </w:pPr>
            <w:r>
              <w:rPr>
                <w:sz w:val="18"/>
                <w:szCs w:val="18"/>
              </w:rPr>
              <w:t xml:space="preserve"> 28.46 </w:t>
            </w:r>
          </w:p>
        </w:tc>
        <w:tc>
          <w:tcPr>
            <w:tcW w:w="841" w:type="dxa"/>
          </w:tcPr>
          <w:p w14:paraId="4F3EFA74">
            <w:pPr>
              <w:jc w:val="center"/>
              <w:rPr>
                <w:rFonts w:cstheme="minorHAnsi"/>
                <w:sz w:val="18"/>
                <w:szCs w:val="18"/>
              </w:rPr>
            </w:pPr>
            <w:r>
              <w:rPr>
                <w:sz w:val="18"/>
                <w:szCs w:val="18"/>
              </w:rPr>
              <w:t xml:space="preserve"> 28.46 </w:t>
            </w:r>
          </w:p>
        </w:tc>
        <w:tc>
          <w:tcPr>
            <w:tcW w:w="840" w:type="dxa"/>
          </w:tcPr>
          <w:p w14:paraId="3E1B152C">
            <w:pPr>
              <w:jc w:val="center"/>
              <w:rPr>
                <w:rFonts w:cstheme="minorHAnsi"/>
                <w:sz w:val="18"/>
                <w:szCs w:val="18"/>
              </w:rPr>
            </w:pPr>
            <w:r>
              <w:rPr>
                <w:sz w:val="18"/>
                <w:szCs w:val="18"/>
              </w:rPr>
              <w:t xml:space="preserve"> 28.46 </w:t>
            </w:r>
          </w:p>
        </w:tc>
        <w:tc>
          <w:tcPr>
            <w:tcW w:w="840" w:type="dxa"/>
          </w:tcPr>
          <w:p w14:paraId="30081B71">
            <w:pPr>
              <w:jc w:val="center"/>
              <w:rPr>
                <w:rFonts w:cstheme="minorHAnsi"/>
                <w:sz w:val="18"/>
                <w:szCs w:val="18"/>
              </w:rPr>
            </w:pPr>
            <w:r>
              <w:rPr>
                <w:sz w:val="18"/>
                <w:szCs w:val="18"/>
              </w:rPr>
              <w:t xml:space="preserve"> 28.46 </w:t>
            </w:r>
          </w:p>
        </w:tc>
        <w:tc>
          <w:tcPr>
            <w:tcW w:w="839" w:type="dxa"/>
          </w:tcPr>
          <w:p w14:paraId="42118B74">
            <w:pPr>
              <w:jc w:val="center"/>
              <w:rPr>
                <w:rFonts w:cstheme="minorHAnsi"/>
                <w:sz w:val="18"/>
                <w:szCs w:val="18"/>
              </w:rPr>
            </w:pPr>
            <w:r>
              <w:rPr>
                <w:sz w:val="18"/>
                <w:szCs w:val="18"/>
              </w:rPr>
              <w:t xml:space="preserve"> 28.46 </w:t>
            </w:r>
          </w:p>
        </w:tc>
        <w:tc>
          <w:tcPr>
            <w:tcW w:w="839" w:type="dxa"/>
          </w:tcPr>
          <w:p w14:paraId="361FACF8">
            <w:pPr>
              <w:jc w:val="center"/>
              <w:rPr>
                <w:rFonts w:cstheme="minorHAnsi"/>
                <w:sz w:val="18"/>
                <w:szCs w:val="18"/>
              </w:rPr>
            </w:pPr>
            <w:r>
              <w:rPr>
                <w:sz w:val="18"/>
                <w:szCs w:val="18"/>
              </w:rPr>
              <w:t xml:space="preserve"> 28.46 </w:t>
            </w:r>
          </w:p>
        </w:tc>
        <w:tc>
          <w:tcPr>
            <w:tcW w:w="839" w:type="dxa"/>
          </w:tcPr>
          <w:p w14:paraId="783B7909">
            <w:pPr>
              <w:jc w:val="center"/>
              <w:rPr>
                <w:rFonts w:cstheme="minorHAnsi"/>
                <w:sz w:val="18"/>
                <w:szCs w:val="18"/>
              </w:rPr>
            </w:pPr>
            <w:r>
              <w:rPr>
                <w:sz w:val="18"/>
                <w:szCs w:val="18"/>
              </w:rPr>
              <w:t xml:space="preserve"> 28.46 </w:t>
            </w:r>
          </w:p>
        </w:tc>
        <w:tc>
          <w:tcPr>
            <w:tcW w:w="839" w:type="dxa"/>
          </w:tcPr>
          <w:p w14:paraId="1C9F5166">
            <w:pPr>
              <w:jc w:val="center"/>
              <w:rPr>
                <w:rFonts w:cstheme="minorHAnsi"/>
                <w:sz w:val="18"/>
                <w:szCs w:val="18"/>
              </w:rPr>
            </w:pPr>
            <w:r>
              <w:rPr>
                <w:sz w:val="18"/>
                <w:szCs w:val="18"/>
              </w:rPr>
              <w:t xml:space="preserve"> 28.46 </w:t>
            </w:r>
          </w:p>
        </w:tc>
        <w:tc>
          <w:tcPr>
            <w:tcW w:w="839" w:type="dxa"/>
          </w:tcPr>
          <w:p w14:paraId="270264BD">
            <w:pPr>
              <w:jc w:val="center"/>
              <w:rPr>
                <w:rFonts w:cstheme="minorHAnsi"/>
                <w:sz w:val="18"/>
                <w:szCs w:val="18"/>
              </w:rPr>
            </w:pPr>
            <w:r>
              <w:rPr>
                <w:sz w:val="18"/>
                <w:szCs w:val="18"/>
              </w:rPr>
              <w:t xml:space="preserve"> 28.46 </w:t>
            </w:r>
          </w:p>
        </w:tc>
        <w:tc>
          <w:tcPr>
            <w:tcW w:w="839" w:type="dxa"/>
          </w:tcPr>
          <w:p w14:paraId="21DF605B">
            <w:pPr>
              <w:jc w:val="center"/>
              <w:rPr>
                <w:rFonts w:cstheme="minorHAnsi"/>
                <w:sz w:val="18"/>
                <w:szCs w:val="18"/>
              </w:rPr>
            </w:pPr>
            <w:r>
              <w:rPr>
                <w:sz w:val="18"/>
                <w:szCs w:val="18"/>
              </w:rPr>
              <w:t xml:space="preserve"> 28.46 </w:t>
            </w:r>
          </w:p>
        </w:tc>
        <w:tc>
          <w:tcPr>
            <w:tcW w:w="839" w:type="dxa"/>
          </w:tcPr>
          <w:p w14:paraId="118057A8">
            <w:pPr>
              <w:jc w:val="center"/>
              <w:rPr>
                <w:rFonts w:cstheme="minorHAnsi"/>
                <w:sz w:val="18"/>
                <w:szCs w:val="18"/>
              </w:rPr>
            </w:pPr>
            <w:r>
              <w:rPr>
                <w:sz w:val="18"/>
                <w:szCs w:val="18"/>
              </w:rPr>
              <w:t xml:space="preserve"> 28.46 </w:t>
            </w:r>
          </w:p>
        </w:tc>
        <w:tc>
          <w:tcPr>
            <w:tcW w:w="839" w:type="dxa"/>
          </w:tcPr>
          <w:p w14:paraId="03AF7E49">
            <w:pPr>
              <w:jc w:val="center"/>
              <w:rPr>
                <w:rFonts w:cstheme="minorHAnsi"/>
                <w:sz w:val="18"/>
                <w:szCs w:val="18"/>
              </w:rPr>
            </w:pPr>
            <w:r>
              <w:rPr>
                <w:sz w:val="18"/>
                <w:szCs w:val="18"/>
              </w:rPr>
              <w:t xml:space="preserve"> 28.46 </w:t>
            </w:r>
          </w:p>
        </w:tc>
        <w:tc>
          <w:tcPr>
            <w:tcW w:w="839" w:type="dxa"/>
          </w:tcPr>
          <w:p w14:paraId="7E8C571C">
            <w:pPr>
              <w:jc w:val="center"/>
              <w:rPr>
                <w:rFonts w:cstheme="minorHAnsi"/>
                <w:sz w:val="18"/>
                <w:szCs w:val="18"/>
              </w:rPr>
            </w:pPr>
            <w:r>
              <w:rPr>
                <w:sz w:val="18"/>
                <w:szCs w:val="18"/>
              </w:rPr>
              <w:t xml:space="preserve"> 28.46 </w:t>
            </w:r>
          </w:p>
        </w:tc>
        <w:tc>
          <w:tcPr>
            <w:tcW w:w="839" w:type="dxa"/>
          </w:tcPr>
          <w:p w14:paraId="68F6CDE6">
            <w:pPr>
              <w:jc w:val="center"/>
              <w:rPr>
                <w:rFonts w:cstheme="minorHAnsi"/>
                <w:sz w:val="18"/>
                <w:szCs w:val="18"/>
              </w:rPr>
            </w:pPr>
            <w:r>
              <w:rPr>
                <w:sz w:val="18"/>
                <w:szCs w:val="18"/>
              </w:rPr>
              <w:t xml:space="preserve"> 28.46 </w:t>
            </w:r>
          </w:p>
        </w:tc>
        <w:tc>
          <w:tcPr>
            <w:tcW w:w="839" w:type="dxa"/>
          </w:tcPr>
          <w:p w14:paraId="5F45CCCA">
            <w:pPr>
              <w:jc w:val="center"/>
              <w:rPr>
                <w:rFonts w:cstheme="minorHAnsi"/>
                <w:sz w:val="18"/>
                <w:szCs w:val="18"/>
              </w:rPr>
            </w:pPr>
            <w:r>
              <w:rPr>
                <w:sz w:val="18"/>
                <w:szCs w:val="18"/>
              </w:rPr>
              <w:t xml:space="preserve"> 28.46 </w:t>
            </w:r>
          </w:p>
        </w:tc>
      </w:tr>
      <w:tr w14:paraId="0D6D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15" w:type="dxa"/>
          </w:tcPr>
          <w:p w14:paraId="6D3543AC">
            <w:pPr>
              <w:rPr>
                <w:rFonts w:cstheme="minorHAnsi"/>
                <w:sz w:val="18"/>
                <w:szCs w:val="18"/>
              </w:rPr>
            </w:pPr>
            <w:r>
              <w:rPr>
                <w:sz w:val="18"/>
                <w:szCs w:val="18"/>
              </w:rPr>
              <w:t>2.6</w:t>
            </w:r>
          </w:p>
        </w:tc>
        <w:tc>
          <w:tcPr>
            <w:tcW w:w="1497" w:type="dxa"/>
          </w:tcPr>
          <w:p w14:paraId="2F721E10">
            <w:pPr>
              <w:rPr>
                <w:rFonts w:cstheme="minorHAnsi"/>
                <w:sz w:val="18"/>
                <w:szCs w:val="18"/>
              </w:rPr>
            </w:pPr>
            <w:r>
              <w:rPr>
                <w:rFonts w:hint="eastAsia"/>
                <w:sz w:val="18"/>
                <w:szCs w:val="18"/>
              </w:rPr>
              <w:t>税金及附加</w:t>
            </w:r>
          </w:p>
        </w:tc>
        <w:tc>
          <w:tcPr>
            <w:tcW w:w="910" w:type="dxa"/>
          </w:tcPr>
          <w:p w14:paraId="47F819F6">
            <w:pPr>
              <w:jc w:val="center"/>
              <w:rPr>
                <w:rFonts w:cstheme="minorHAnsi"/>
                <w:sz w:val="18"/>
                <w:szCs w:val="18"/>
              </w:rPr>
            </w:pPr>
            <w:r>
              <w:rPr>
                <w:sz w:val="18"/>
                <w:szCs w:val="18"/>
              </w:rPr>
              <w:t xml:space="preserve"> 3.41 </w:t>
            </w:r>
          </w:p>
        </w:tc>
        <w:tc>
          <w:tcPr>
            <w:tcW w:w="841" w:type="dxa"/>
          </w:tcPr>
          <w:p w14:paraId="1408DD85">
            <w:pPr>
              <w:jc w:val="center"/>
              <w:rPr>
                <w:rFonts w:cstheme="minorHAnsi"/>
                <w:sz w:val="18"/>
                <w:szCs w:val="18"/>
              </w:rPr>
            </w:pPr>
            <w:r>
              <w:rPr>
                <w:sz w:val="18"/>
                <w:szCs w:val="18"/>
              </w:rPr>
              <w:t xml:space="preserve"> 3.41 </w:t>
            </w:r>
          </w:p>
        </w:tc>
        <w:tc>
          <w:tcPr>
            <w:tcW w:w="840" w:type="dxa"/>
          </w:tcPr>
          <w:p w14:paraId="3326E10D">
            <w:pPr>
              <w:jc w:val="center"/>
              <w:rPr>
                <w:rFonts w:cstheme="minorHAnsi"/>
                <w:sz w:val="18"/>
                <w:szCs w:val="18"/>
              </w:rPr>
            </w:pPr>
            <w:r>
              <w:rPr>
                <w:sz w:val="18"/>
                <w:szCs w:val="18"/>
              </w:rPr>
              <w:t xml:space="preserve"> 3.41 </w:t>
            </w:r>
          </w:p>
        </w:tc>
        <w:tc>
          <w:tcPr>
            <w:tcW w:w="840" w:type="dxa"/>
          </w:tcPr>
          <w:p w14:paraId="7594903A">
            <w:pPr>
              <w:jc w:val="center"/>
              <w:rPr>
                <w:rFonts w:cstheme="minorHAnsi"/>
                <w:sz w:val="18"/>
                <w:szCs w:val="18"/>
              </w:rPr>
            </w:pPr>
            <w:r>
              <w:rPr>
                <w:sz w:val="18"/>
                <w:szCs w:val="18"/>
              </w:rPr>
              <w:t xml:space="preserve"> 3.41 </w:t>
            </w:r>
          </w:p>
        </w:tc>
        <w:tc>
          <w:tcPr>
            <w:tcW w:w="839" w:type="dxa"/>
          </w:tcPr>
          <w:p w14:paraId="5F6DFF79">
            <w:pPr>
              <w:jc w:val="center"/>
              <w:rPr>
                <w:rFonts w:cstheme="minorHAnsi"/>
                <w:sz w:val="18"/>
                <w:szCs w:val="18"/>
              </w:rPr>
            </w:pPr>
            <w:r>
              <w:rPr>
                <w:sz w:val="18"/>
                <w:szCs w:val="18"/>
              </w:rPr>
              <w:t xml:space="preserve"> 3.41 </w:t>
            </w:r>
          </w:p>
        </w:tc>
        <w:tc>
          <w:tcPr>
            <w:tcW w:w="839" w:type="dxa"/>
          </w:tcPr>
          <w:p w14:paraId="19EEAF48">
            <w:pPr>
              <w:jc w:val="center"/>
              <w:rPr>
                <w:rFonts w:cstheme="minorHAnsi"/>
                <w:sz w:val="18"/>
                <w:szCs w:val="18"/>
              </w:rPr>
            </w:pPr>
            <w:r>
              <w:rPr>
                <w:sz w:val="18"/>
                <w:szCs w:val="18"/>
              </w:rPr>
              <w:t xml:space="preserve"> 3.41 </w:t>
            </w:r>
          </w:p>
        </w:tc>
        <w:tc>
          <w:tcPr>
            <w:tcW w:w="839" w:type="dxa"/>
          </w:tcPr>
          <w:p w14:paraId="74C72D54">
            <w:pPr>
              <w:jc w:val="center"/>
              <w:rPr>
                <w:rFonts w:cstheme="minorHAnsi"/>
                <w:sz w:val="18"/>
                <w:szCs w:val="18"/>
              </w:rPr>
            </w:pPr>
            <w:r>
              <w:rPr>
                <w:sz w:val="18"/>
                <w:szCs w:val="18"/>
              </w:rPr>
              <w:t xml:space="preserve"> 3.41 </w:t>
            </w:r>
          </w:p>
        </w:tc>
        <w:tc>
          <w:tcPr>
            <w:tcW w:w="839" w:type="dxa"/>
          </w:tcPr>
          <w:p w14:paraId="1822D6FF">
            <w:pPr>
              <w:jc w:val="center"/>
              <w:rPr>
                <w:rFonts w:cstheme="minorHAnsi"/>
                <w:sz w:val="18"/>
                <w:szCs w:val="18"/>
              </w:rPr>
            </w:pPr>
            <w:r>
              <w:rPr>
                <w:sz w:val="18"/>
                <w:szCs w:val="18"/>
              </w:rPr>
              <w:t xml:space="preserve"> 3.41 </w:t>
            </w:r>
          </w:p>
        </w:tc>
        <w:tc>
          <w:tcPr>
            <w:tcW w:w="839" w:type="dxa"/>
          </w:tcPr>
          <w:p w14:paraId="0B9EA246">
            <w:pPr>
              <w:jc w:val="center"/>
              <w:rPr>
                <w:rFonts w:cstheme="minorHAnsi"/>
                <w:sz w:val="18"/>
                <w:szCs w:val="18"/>
              </w:rPr>
            </w:pPr>
            <w:r>
              <w:rPr>
                <w:sz w:val="18"/>
                <w:szCs w:val="18"/>
              </w:rPr>
              <w:t xml:space="preserve"> 3.41 </w:t>
            </w:r>
          </w:p>
        </w:tc>
        <w:tc>
          <w:tcPr>
            <w:tcW w:w="839" w:type="dxa"/>
          </w:tcPr>
          <w:p w14:paraId="5FC3FC4B">
            <w:pPr>
              <w:jc w:val="center"/>
              <w:rPr>
                <w:rFonts w:cstheme="minorHAnsi"/>
                <w:sz w:val="18"/>
                <w:szCs w:val="18"/>
              </w:rPr>
            </w:pPr>
            <w:r>
              <w:rPr>
                <w:sz w:val="18"/>
                <w:szCs w:val="18"/>
              </w:rPr>
              <w:t xml:space="preserve"> 3.41 </w:t>
            </w:r>
          </w:p>
        </w:tc>
        <w:tc>
          <w:tcPr>
            <w:tcW w:w="839" w:type="dxa"/>
          </w:tcPr>
          <w:p w14:paraId="7CB2B12B">
            <w:pPr>
              <w:jc w:val="center"/>
              <w:rPr>
                <w:rFonts w:cstheme="minorHAnsi"/>
                <w:sz w:val="18"/>
                <w:szCs w:val="18"/>
              </w:rPr>
            </w:pPr>
            <w:r>
              <w:rPr>
                <w:sz w:val="18"/>
                <w:szCs w:val="18"/>
              </w:rPr>
              <w:t xml:space="preserve"> 3.41 </w:t>
            </w:r>
          </w:p>
        </w:tc>
        <w:tc>
          <w:tcPr>
            <w:tcW w:w="839" w:type="dxa"/>
          </w:tcPr>
          <w:p w14:paraId="6E43BC59">
            <w:pPr>
              <w:jc w:val="center"/>
              <w:rPr>
                <w:rFonts w:cstheme="minorHAnsi"/>
                <w:sz w:val="18"/>
                <w:szCs w:val="18"/>
              </w:rPr>
            </w:pPr>
            <w:r>
              <w:rPr>
                <w:sz w:val="18"/>
                <w:szCs w:val="18"/>
              </w:rPr>
              <w:t xml:space="preserve"> 3.41 </w:t>
            </w:r>
          </w:p>
        </w:tc>
        <w:tc>
          <w:tcPr>
            <w:tcW w:w="839" w:type="dxa"/>
          </w:tcPr>
          <w:p w14:paraId="379D9ABE">
            <w:pPr>
              <w:jc w:val="center"/>
              <w:rPr>
                <w:rFonts w:cstheme="minorHAnsi"/>
                <w:sz w:val="18"/>
                <w:szCs w:val="18"/>
              </w:rPr>
            </w:pPr>
            <w:r>
              <w:rPr>
                <w:sz w:val="18"/>
                <w:szCs w:val="18"/>
              </w:rPr>
              <w:t xml:space="preserve"> 3.41 </w:t>
            </w:r>
          </w:p>
        </w:tc>
        <w:tc>
          <w:tcPr>
            <w:tcW w:w="839" w:type="dxa"/>
          </w:tcPr>
          <w:p w14:paraId="344640F8">
            <w:pPr>
              <w:jc w:val="center"/>
              <w:rPr>
                <w:rFonts w:cstheme="minorHAnsi"/>
                <w:sz w:val="18"/>
                <w:szCs w:val="18"/>
              </w:rPr>
            </w:pPr>
            <w:r>
              <w:rPr>
                <w:sz w:val="18"/>
                <w:szCs w:val="18"/>
              </w:rPr>
              <w:t xml:space="preserve"> 3.41 </w:t>
            </w:r>
          </w:p>
        </w:tc>
        <w:tc>
          <w:tcPr>
            <w:tcW w:w="839" w:type="dxa"/>
          </w:tcPr>
          <w:p w14:paraId="06372AB0">
            <w:pPr>
              <w:jc w:val="center"/>
              <w:rPr>
                <w:rFonts w:cstheme="minorHAnsi"/>
                <w:sz w:val="18"/>
                <w:szCs w:val="18"/>
              </w:rPr>
            </w:pPr>
            <w:r>
              <w:rPr>
                <w:sz w:val="18"/>
                <w:szCs w:val="18"/>
              </w:rPr>
              <w:t xml:space="preserve"> 3.41 </w:t>
            </w:r>
          </w:p>
        </w:tc>
      </w:tr>
      <w:tr w14:paraId="065B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15" w:type="dxa"/>
          </w:tcPr>
          <w:p w14:paraId="33FFF160">
            <w:pPr>
              <w:rPr>
                <w:rFonts w:cstheme="minorHAnsi"/>
                <w:sz w:val="18"/>
                <w:szCs w:val="18"/>
              </w:rPr>
            </w:pPr>
            <w:r>
              <w:rPr>
                <w:sz w:val="18"/>
                <w:szCs w:val="18"/>
              </w:rPr>
              <w:t>2.7</w:t>
            </w:r>
          </w:p>
        </w:tc>
        <w:tc>
          <w:tcPr>
            <w:tcW w:w="1497" w:type="dxa"/>
          </w:tcPr>
          <w:p w14:paraId="7CDBB2EF">
            <w:pPr>
              <w:rPr>
                <w:rFonts w:cstheme="minorHAnsi"/>
                <w:sz w:val="18"/>
                <w:szCs w:val="18"/>
              </w:rPr>
            </w:pPr>
            <w:r>
              <w:rPr>
                <w:rFonts w:hint="eastAsia"/>
                <w:sz w:val="18"/>
                <w:szCs w:val="18"/>
              </w:rPr>
              <w:t>所得税</w:t>
            </w:r>
          </w:p>
        </w:tc>
        <w:tc>
          <w:tcPr>
            <w:tcW w:w="910" w:type="dxa"/>
          </w:tcPr>
          <w:p w14:paraId="136C6A78">
            <w:pPr>
              <w:jc w:val="center"/>
              <w:rPr>
                <w:rFonts w:cstheme="minorHAnsi"/>
                <w:sz w:val="18"/>
                <w:szCs w:val="18"/>
              </w:rPr>
            </w:pPr>
            <w:r>
              <w:rPr>
                <w:sz w:val="18"/>
                <w:szCs w:val="18"/>
              </w:rPr>
              <w:t xml:space="preserve"> -   </w:t>
            </w:r>
          </w:p>
        </w:tc>
        <w:tc>
          <w:tcPr>
            <w:tcW w:w="841" w:type="dxa"/>
          </w:tcPr>
          <w:p w14:paraId="413D49F2">
            <w:pPr>
              <w:jc w:val="center"/>
              <w:rPr>
                <w:rFonts w:cstheme="minorHAnsi"/>
                <w:sz w:val="18"/>
                <w:szCs w:val="18"/>
              </w:rPr>
            </w:pPr>
            <w:r>
              <w:rPr>
                <w:sz w:val="18"/>
                <w:szCs w:val="18"/>
              </w:rPr>
              <w:t xml:space="preserve"> -   </w:t>
            </w:r>
          </w:p>
        </w:tc>
        <w:tc>
          <w:tcPr>
            <w:tcW w:w="840" w:type="dxa"/>
          </w:tcPr>
          <w:p w14:paraId="674AA646">
            <w:pPr>
              <w:jc w:val="center"/>
              <w:rPr>
                <w:rFonts w:cstheme="minorHAnsi"/>
                <w:sz w:val="18"/>
                <w:szCs w:val="18"/>
              </w:rPr>
            </w:pPr>
            <w:r>
              <w:rPr>
                <w:sz w:val="18"/>
                <w:szCs w:val="18"/>
              </w:rPr>
              <w:t xml:space="preserve"> -   </w:t>
            </w:r>
          </w:p>
        </w:tc>
        <w:tc>
          <w:tcPr>
            <w:tcW w:w="840" w:type="dxa"/>
          </w:tcPr>
          <w:p w14:paraId="35D9B1B5">
            <w:pPr>
              <w:jc w:val="center"/>
              <w:rPr>
                <w:rFonts w:cstheme="minorHAnsi"/>
                <w:sz w:val="18"/>
                <w:szCs w:val="18"/>
              </w:rPr>
            </w:pPr>
            <w:r>
              <w:rPr>
                <w:sz w:val="18"/>
                <w:szCs w:val="18"/>
              </w:rPr>
              <w:t xml:space="preserve"> -   </w:t>
            </w:r>
          </w:p>
        </w:tc>
        <w:tc>
          <w:tcPr>
            <w:tcW w:w="839" w:type="dxa"/>
          </w:tcPr>
          <w:p w14:paraId="7B834444">
            <w:pPr>
              <w:jc w:val="center"/>
              <w:rPr>
                <w:rFonts w:cstheme="minorHAnsi"/>
                <w:sz w:val="18"/>
                <w:szCs w:val="18"/>
              </w:rPr>
            </w:pPr>
            <w:r>
              <w:rPr>
                <w:sz w:val="18"/>
                <w:szCs w:val="18"/>
              </w:rPr>
              <w:t xml:space="preserve"> -   </w:t>
            </w:r>
          </w:p>
        </w:tc>
        <w:tc>
          <w:tcPr>
            <w:tcW w:w="839" w:type="dxa"/>
          </w:tcPr>
          <w:p w14:paraId="75DEEAE6">
            <w:pPr>
              <w:jc w:val="center"/>
              <w:rPr>
                <w:rFonts w:cstheme="minorHAnsi"/>
                <w:sz w:val="18"/>
                <w:szCs w:val="18"/>
              </w:rPr>
            </w:pPr>
            <w:r>
              <w:rPr>
                <w:sz w:val="18"/>
                <w:szCs w:val="18"/>
              </w:rPr>
              <w:t xml:space="preserve"> -   </w:t>
            </w:r>
          </w:p>
        </w:tc>
        <w:tc>
          <w:tcPr>
            <w:tcW w:w="839" w:type="dxa"/>
          </w:tcPr>
          <w:p w14:paraId="03E65FB0">
            <w:pPr>
              <w:jc w:val="center"/>
              <w:rPr>
                <w:rFonts w:cstheme="minorHAnsi"/>
                <w:sz w:val="18"/>
                <w:szCs w:val="18"/>
              </w:rPr>
            </w:pPr>
            <w:r>
              <w:rPr>
                <w:sz w:val="18"/>
                <w:szCs w:val="18"/>
              </w:rPr>
              <w:t xml:space="preserve"> -   </w:t>
            </w:r>
          </w:p>
        </w:tc>
        <w:tc>
          <w:tcPr>
            <w:tcW w:w="839" w:type="dxa"/>
          </w:tcPr>
          <w:p w14:paraId="37F1863B">
            <w:pPr>
              <w:jc w:val="center"/>
              <w:rPr>
                <w:rFonts w:cstheme="minorHAnsi"/>
                <w:sz w:val="18"/>
                <w:szCs w:val="18"/>
              </w:rPr>
            </w:pPr>
            <w:r>
              <w:rPr>
                <w:sz w:val="18"/>
                <w:szCs w:val="18"/>
              </w:rPr>
              <w:t xml:space="preserve"> -   </w:t>
            </w:r>
          </w:p>
        </w:tc>
        <w:tc>
          <w:tcPr>
            <w:tcW w:w="839" w:type="dxa"/>
          </w:tcPr>
          <w:p w14:paraId="47B74E1D">
            <w:pPr>
              <w:jc w:val="center"/>
              <w:rPr>
                <w:rFonts w:cstheme="minorHAnsi"/>
                <w:sz w:val="18"/>
                <w:szCs w:val="18"/>
              </w:rPr>
            </w:pPr>
            <w:r>
              <w:rPr>
                <w:sz w:val="18"/>
                <w:szCs w:val="18"/>
              </w:rPr>
              <w:t xml:space="preserve"> 1.58 </w:t>
            </w:r>
          </w:p>
        </w:tc>
        <w:tc>
          <w:tcPr>
            <w:tcW w:w="839" w:type="dxa"/>
          </w:tcPr>
          <w:p w14:paraId="5E3C8FB7">
            <w:pPr>
              <w:jc w:val="center"/>
              <w:rPr>
                <w:rFonts w:cstheme="minorHAnsi"/>
                <w:sz w:val="18"/>
                <w:szCs w:val="18"/>
              </w:rPr>
            </w:pPr>
            <w:r>
              <w:rPr>
                <w:sz w:val="18"/>
                <w:szCs w:val="18"/>
              </w:rPr>
              <w:t xml:space="preserve"> 7.93 </w:t>
            </w:r>
          </w:p>
        </w:tc>
        <w:tc>
          <w:tcPr>
            <w:tcW w:w="839" w:type="dxa"/>
          </w:tcPr>
          <w:p w14:paraId="54624FDF">
            <w:pPr>
              <w:jc w:val="center"/>
              <w:rPr>
                <w:rFonts w:cstheme="minorHAnsi"/>
                <w:sz w:val="18"/>
                <w:szCs w:val="18"/>
              </w:rPr>
            </w:pPr>
            <w:r>
              <w:rPr>
                <w:sz w:val="18"/>
                <w:szCs w:val="18"/>
              </w:rPr>
              <w:t xml:space="preserve"> 10.00 </w:t>
            </w:r>
          </w:p>
        </w:tc>
        <w:tc>
          <w:tcPr>
            <w:tcW w:w="839" w:type="dxa"/>
          </w:tcPr>
          <w:p w14:paraId="5A9F0988">
            <w:pPr>
              <w:jc w:val="center"/>
              <w:rPr>
                <w:rFonts w:cstheme="minorHAnsi"/>
                <w:sz w:val="18"/>
                <w:szCs w:val="18"/>
              </w:rPr>
            </w:pPr>
            <w:r>
              <w:rPr>
                <w:sz w:val="18"/>
                <w:szCs w:val="18"/>
              </w:rPr>
              <w:t xml:space="preserve"> 12.13 </w:t>
            </w:r>
          </w:p>
        </w:tc>
        <w:tc>
          <w:tcPr>
            <w:tcW w:w="839" w:type="dxa"/>
          </w:tcPr>
          <w:p w14:paraId="223D9959">
            <w:pPr>
              <w:jc w:val="center"/>
              <w:rPr>
                <w:rFonts w:cstheme="minorHAnsi"/>
                <w:sz w:val="18"/>
                <w:szCs w:val="18"/>
              </w:rPr>
            </w:pPr>
            <w:r>
              <w:rPr>
                <w:sz w:val="18"/>
                <w:szCs w:val="18"/>
              </w:rPr>
              <w:t xml:space="preserve"> 14.35 </w:t>
            </w:r>
          </w:p>
        </w:tc>
        <w:tc>
          <w:tcPr>
            <w:tcW w:w="839" w:type="dxa"/>
          </w:tcPr>
          <w:p w14:paraId="3030B73C">
            <w:pPr>
              <w:jc w:val="center"/>
              <w:rPr>
                <w:rFonts w:cstheme="minorHAnsi"/>
                <w:sz w:val="18"/>
                <w:szCs w:val="18"/>
              </w:rPr>
            </w:pPr>
            <w:r>
              <w:rPr>
                <w:sz w:val="18"/>
                <w:szCs w:val="18"/>
              </w:rPr>
              <w:t xml:space="preserve"> 16.64 </w:t>
            </w:r>
          </w:p>
        </w:tc>
        <w:tc>
          <w:tcPr>
            <w:tcW w:w="839" w:type="dxa"/>
          </w:tcPr>
          <w:p w14:paraId="57F252B6">
            <w:pPr>
              <w:jc w:val="center"/>
              <w:rPr>
                <w:rFonts w:cstheme="minorHAnsi"/>
                <w:sz w:val="18"/>
                <w:szCs w:val="18"/>
              </w:rPr>
            </w:pPr>
            <w:r>
              <w:rPr>
                <w:sz w:val="18"/>
                <w:szCs w:val="18"/>
              </w:rPr>
              <w:t xml:space="preserve"> 19.01 </w:t>
            </w:r>
          </w:p>
        </w:tc>
      </w:tr>
      <w:tr w14:paraId="6F00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15" w:type="dxa"/>
          </w:tcPr>
          <w:p w14:paraId="0EFD2FC0">
            <w:pPr>
              <w:rPr>
                <w:rFonts w:cstheme="minorHAnsi"/>
                <w:sz w:val="18"/>
                <w:szCs w:val="18"/>
              </w:rPr>
            </w:pPr>
            <w:r>
              <w:rPr>
                <w:sz w:val="18"/>
                <w:szCs w:val="18"/>
              </w:rPr>
              <w:t>3</w:t>
            </w:r>
          </w:p>
        </w:tc>
        <w:tc>
          <w:tcPr>
            <w:tcW w:w="1497" w:type="dxa"/>
          </w:tcPr>
          <w:p w14:paraId="221D80FD">
            <w:pPr>
              <w:rPr>
                <w:rFonts w:cstheme="minorHAnsi"/>
                <w:sz w:val="18"/>
                <w:szCs w:val="18"/>
              </w:rPr>
            </w:pPr>
            <w:r>
              <w:rPr>
                <w:rFonts w:hint="eastAsia"/>
                <w:sz w:val="18"/>
                <w:szCs w:val="18"/>
              </w:rPr>
              <w:t>净现金流（1-2）</w:t>
            </w:r>
          </w:p>
        </w:tc>
        <w:tc>
          <w:tcPr>
            <w:tcW w:w="910" w:type="dxa"/>
          </w:tcPr>
          <w:p w14:paraId="60EA3224">
            <w:pPr>
              <w:jc w:val="center"/>
              <w:rPr>
                <w:rFonts w:cstheme="minorHAnsi"/>
                <w:sz w:val="18"/>
                <w:szCs w:val="18"/>
              </w:rPr>
            </w:pPr>
            <w:r>
              <w:rPr>
                <w:sz w:val="18"/>
                <w:szCs w:val="18"/>
              </w:rPr>
              <w:t xml:space="preserve">-2,084.71 </w:t>
            </w:r>
          </w:p>
        </w:tc>
        <w:tc>
          <w:tcPr>
            <w:tcW w:w="841" w:type="dxa"/>
          </w:tcPr>
          <w:p w14:paraId="13926CD1">
            <w:pPr>
              <w:jc w:val="center"/>
              <w:rPr>
                <w:rFonts w:cstheme="minorHAnsi"/>
                <w:sz w:val="18"/>
                <w:szCs w:val="18"/>
              </w:rPr>
            </w:pPr>
            <w:r>
              <w:rPr>
                <w:sz w:val="18"/>
                <w:szCs w:val="18"/>
              </w:rPr>
              <w:t xml:space="preserve"> 169.29 </w:t>
            </w:r>
          </w:p>
        </w:tc>
        <w:tc>
          <w:tcPr>
            <w:tcW w:w="840" w:type="dxa"/>
          </w:tcPr>
          <w:p w14:paraId="73654A51">
            <w:pPr>
              <w:jc w:val="center"/>
              <w:rPr>
                <w:rFonts w:cstheme="minorHAnsi"/>
                <w:sz w:val="18"/>
                <w:szCs w:val="18"/>
              </w:rPr>
            </w:pPr>
            <w:r>
              <w:rPr>
                <w:sz w:val="18"/>
                <w:szCs w:val="18"/>
              </w:rPr>
              <w:t xml:space="preserve"> 169.29 </w:t>
            </w:r>
          </w:p>
        </w:tc>
        <w:tc>
          <w:tcPr>
            <w:tcW w:w="840" w:type="dxa"/>
          </w:tcPr>
          <w:p w14:paraId="0FE0EEB4">
            <w:pPr>
              <w:jc w:val="center"/>
              <w:rPr>
                <w:rFonts w:cstheme="minorHAnsi"/>
                <w:sz w:val="18"/>
                <w:szCs w:val="18"/>
              </w:rPr>
            </w:pPr>
            <w:r>
              <w:rPr>
                <w:sz w:val="18"/>
                <w:szCs w:val="18"/>
              </w:rPr>
              <w:t xml:space="preserve"> 169.29 </w:t>
            </w:r>
          </w:p>
        </w:tc>
        <w:tc>
          <w:tcPr>
            <w:tcW w:w="839" w:type="dxa"/>
          </w:tcPr>
          <w:p w14:paraId="43322ACF">
            <w:pPr>
              <w:jc w:val="center"/>
              <w:rPr>
                <w:rFonts w:cstheme="minorHAnsi"/>
                <w:sz w:val="18"/>
                <w:szCs w:val="18"/>
              </w:rPr>
            </w:pPr>
            <w:r>
              <w:rPr>
                <w:sz w:val="18"/>
                <w:szCs w:val="18"/>
              </w:rPr>
              <w:t xml:space="preserve"> 169.29 </w:t>
            </w:r>
          </w:p>
        </w:tc>
        <w:tc>
          <w:tcPr>
            <w:tcW w:w="839" w:type="dxa"/>
          </w:tcPr>
          <w:p w14:paraId="76A1229C">
            <w:pPr>
              <w:jc w:val="center"/>
              <w:rPr>
                <w:rFonts w:cstheme="minorHAnsi"/>
                <w:sz w:val="18"/>
                <w:szCs w:val="18"/>
              </w:rPr>
            </w:pPr>
            <w:r>
              <w:rPr>
                <w:sz w:val="18"/>
                <w:szCs w:val="18"/>
              </w:rPr>
              <w:t xml:space="preserve"> 169.29 </w:t>
            </w:r>
          </w:p>
        </w:tc>
        <w:tc>
          <w:tcPr>
            <w:tcW w:w="839" w:type="dxa"/>
          </w:tcPr>
          <w:p w14:paraId="1EB9AB97">
            <w:pPr>
              <w:jc w:val="center"/>
              <w:rPr>
                <w:rFonts w:cstheme="minorHAnsi"/>
                <w:sz w:val="18"/>
                <w:szCs w:val="18"/>
              </w:rPr>
            </w:pPr>
            <w:r>
              <w:rPr>
                <w:sz w:val="18"/>
                <w:szCs w:val="18"/>
              </w:rPr>
              <w:t xml:space="preserve"> 169.29 </w:t>
            </w:r>
          </w:p>
        </w:tc>
        <w:tc>
          <w:tcPr>
            <w:tcW w:w="839" w:type="dxa"/>
          </w:tcPr>
          <w:p w14:paraId="53F88F81">
            <w:pPr>
              <w:jc w:val="center"/>
              <w:rPr>
                <w:rFonts w:cstheme="minorHAnsi"/>
                <w:sz w:val="18"/>
                <w:szCs w:val="18"/>
              </w:rPr>
            </w:pPr>
            <w:r>
              <w:rPr>
                <w:sz w:val="18"/>
                <w:szCs w:val="18"/>
              </w:rPr>
              <w:t xml:space="preserve"> 169.29 </w:t>
            </w:r>
          </w:p>
        </w:tc>
        <w:tc>
          <w:tcPr>
            <w:tcW w:w="839" w:type="dxa"/>
          </w:tcPr>
          <w:p w14:paraId="01A624EE">
            <w:pPr>
              <w:jc w:val="center"/>
              <w:rPr>
                <w:rFonts w:cstheme="minorHAnsi"/>
                <w:sz w:val="18"/>
                <w:szCs w:val="18"/>
              </w:rPr>
            </w:pPr>
            <w:r>
              <w:rPr>
                <w:sz w:val="18"/>
                <w:szCs w:val="18"/>
              </w:rPr>
              <w:t xml:space="preserve"> 167.71 </w:t>
            </w:r>
          </w:p>
        </w:tc>
        <w:tc>
          <w:tcPr>
            <w:tcW w:w="839" w:type="dxa"/>
          </w:tcPr>
          <w:p w14:paraId="5DE36280">
            <w:pPr>
              <w:jc w:val="center"/>
              <w:rPr>
                <w:rFonts w:cstheme="minorHAnsi"/>
                <w:sz w:val="18"/>
                <w:szCs w:val="18"/>
              </w:rPr>
            </w:pPr>
            <w:r>
              <w:rPr>
                <w:sz w:val="18"/>
                <w:szCs w:val="18"/>
              </w:rPr>
              <w:t xml:space="preserve"> 161.36 </w:t>
            </w:r>
          </w:p>
        </w:tc>
        <w:tc>
          <w:tcPr>
            <w:tcW w:w="839" w:type="dxa"/>
          </w:tcPr>
          <w:p w14:paraId="7746B080">
            <w:pPr>
              <w:jc w:val="center"/>
              <w:rPr>
                <w:rFonts w:cstheme="minorHAnsi"/>
                <w:sz w:val="18"/>
                <w:szCs w:val="18"/>
              </w:rPr>
            </w:pPr>
            <w:r>
              <w:rPr>
                <w:sz w:val="18"/>
                <w:szCs w:val="18"/>
              </w:rPr>
              <w:t xml:space="preserve"> 159.29 </w:t>
            </w:r>
          </w:p>
        </w:tc>
        <w:tc>
          <w:tcPr>
            <w:tcW w:w="839" w:type="dxa"/>
          </w:tcPr>
          <w:p w14:paraId="6DEE084C">
            <w:pPr>
              <w:jc w:val="center"/>
              <w:rPr>
                <w:rFonts w:cstheme="minorHAnsi"/>
                <w:sz w:val="18"/>
                <w:szCs w:val="18"/>
              </w:rPr>
            </w:pPr>
            <w:r>
              <w:rPr>
                <w:sz w:val="18"/>
                <w:szCs w:val="18"/>
              </w:rPr>
              <w:t xml:space="preserve"> 157.16 </w:t>
            </w:r>
          </w:p>
        </w:tc>
        <w:tc>
          <w:tcPr>
            <w:tcW w:w="839" w:type="dxa"/>
          </w:tcPr>
          <w:p w14:paraId="5FC137BB">
            <w:pPr>
              <w:jc w:val="center"/>
              <w:rPr>
                <w:rFonts w:cstheme="minorHAnsi"/>
                <w:sz w:val="18"/>
                <w:szCs w:val="18"/>
              </w:rPr>
            </w:pPr>
            <w:r>
              <w:rPr>
                <w:sz w:val="18"/>
                <w:szCs w:val="18"/>
              </w:rPr>
              <w:t xml:space="preserve"> 154.94 </w:t>
            </w:r>
          </w:p>
        </w:tc>
        <w:tc>
          <w:tcPr>
            <w:tcW w:w="839" w:type="dxa"/>
          </w:tcPr>
          <w:p w14:paraId="1283DEF9">
            <w:pPr>
              <w:jc w:val="center"/>
              <w:rPr>
                <w:rFonts w:cstheme="minorHAnsi"/>
                <w:sz w:val="18"/>
                <w:szCs w:val="18"/>
              </w:rPr>
            </w:pPr>
            <w:r>
              <w:rPr>
                <w:sz w:val="18"/>
                <w:szCs w:val="18"/>
              </w:rPr>
              <w:t xml:space="preserve"> 152.65 </w:t>
            </w:r>
          </w:p>
        </w:tc>
        <w:tc>
          <w:tcPr>
            <w:tcW w:w="839" w:type="dxa"/>
          </w:tcPr>
          <w:p w14:paraId="680DA85B">
            <w:pPr>
              <w:jc w:val="center"/>
              <w:rPr>
                <w:rFonts w:cstheme="minorHAnsi"/>
                <w:sz w:val="18"/>
                <w:szCs w:val="18"/>
              </w:rPr>
            </w:pPr>
            <w:r>
              <w:rPr>
                <w:sz w:val="18"/>
                <w:szCs w:val="18"/>
              </w:rPr>
              <w:t xml:space="preserve"> 150.28 </w:t>
            </w:r>
          </w:p>
        </w:tc>
      </w:tr>
    </w:tbl>
    <w:p w14:paraId="1F9FE401">
      <w:pPr>
        <w:pStyle w:val="2"/>
      </w:pPr>
    </w:p>
    <w:p w14:paraId="01A4BC0C">
      <w:pPr>
        <w:pStyle w:val="2"/>
      </w:pPr>
    </w:p>
    <w:p w14:paraId="537B9C4F">
      <w:pPr>
        <w:pStyle w:val="2"/>
      </w:pPr>
      <w:r>
        <w:rPr>
          <w:rFonts w:hint="eastAsia"/>
        </w:rPr>
        <w:t>续上表</w:t>
      </w:r>
    </w:p>
    <w:tbl>
      <w:tblPr>
        <w:tblStyle w:val="19"/>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534"/>
        <w:gridCol w:w="851"/>
        <w:gridCol w:w="851"/>
        <w:gridCol w:w="852"/>
        <w:gridCol w:w="851"/>
        <w:gridCol w:w="852"/>
        <w:gridCol w:w="851"/>
        <w:gridCol w:w="852"/>
        <w:gridCol w:w="851"/>
        <w:gridCol w:w="852"/>
        <w:gridCol w:w="851"/>
        <w:gridCol w:w="852"/>
        <w:gridCol w:w="851"/>
        <w:gridCol w:w="852"/>
        <w:gridCol w:w="851"/>
        <w:gridCol w:w="852"/>
      </w:tblGrid>
      <w:tr w14:paraId="76C3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Align w:val="center"/>
          </w:tcPr>
          <w:p w14:paraId="39A475C4">
            <w:pPr>
              <w:rPr>
                <w:rFonts w:cstheme="minorHAnsi"/>
                <w:sz w:val="18"/>
                <w:szCs w:val="18"/>
              </w:rPr>
            </w:pPr>
            <w:r>
              <w:rPr>
                <w:rFonts w:cstheme="minorHAnsi"/>
                <w:sz w:val="18"/>
                <w:szCs w:val="18"/>
              </w:rPr>
              <w:t xml:space="preserve">序号 </w:t>
            </w:r>
          </w:p>
        </w:tc>
        <w:tc>
          <w:tcPr>
            <w:tcW w:w="1534" w:type="dxa"/>
            <w:vAlign w:val="center"/>
          </w:tcPr>
          <w:p w14:paraId="7546C5A7">
            <w:pPr>
              <w:rPr>
                <w:rFonts w:cstheme="minorHAnsi"/>
                <w:sz w:val="18"/>
                <w:szCs w:val="18"/>
              </w:rPr>
            </w:pPr>
            <w:r>
              <w:rPr>
                <w:rFonts w:cstheme="minorHAnsi"/>
                <w:sz w:val="18"/>
                <w:szCs w:val="18"/>
              </w:rPr>
              <w:t>运营年</w:t>
            </w:r>
          </w:p>
        </w:tc>
        <w:tc>
          <w:tcPr>
            <w:tcW w:w="851" w:type="dxa"/>
          </w:tcPr>
          <w:p w14:paraId="371995A0">
            <w:pPr>
              <w:jc w:val="center"/>
              <w:rPr>
                <w:rFonts w:cstheme="minorHAnsi"/>
                <w:sz w:val="18"/>
                <w:szCs w:val="18"/>
              </w:rPr>
            </w:pPr>
            <w:r>
              <w:rPr>
                <w:sz w:val="18"/>
                <w:szCs w:val="18"/>
              </w:rPr>
              <w:t>16</w:t>
            </w:r>
          </w:p>
        </w:tc>
        <w:tc>
          <w:tcPr>
            <w:tcW w:w="851" w:type="dxa"/>
          </w:tcPr>
          <w:p w14:paraId="6B8DDBA3">
            <w:pPr>
              <w:jc w:val="center"/>
              <w:rPr>
                <w:rFonts w:cstheme="minorHAnsi"/>
                <w:sz w:val="18"/>
                <w:szCs w:val="18"/>
              </w:rPr>
            </w:pPr>
            <w:r>
              <w:rPr>
                <w:sz w:val="18"/>
                <w:szCs w:val="18"/>
              </w:rPr>
              <w:t>17</w:t>
            </w:r>
          </w:p>
        </w:tc>
        <w:tc>
          <w:tcPr>
            <w:tcW w:w="852" w:type="dxa"/>
          </w:tcPr>
          <w:p w14:paraId="3C2FE51D">
            <w:pPr>
              <w:jc w:val="center"/>
              <w:rPr>
                <w:rFonts w:cstheme="minorHAnsi"/>
                <w:sz w:val="18"/>
                <w:szCs w:val="18"/>
              </w:rPr>
            </w:pPr>
            <w:r>
              <w:rPr>
                <w:sz w:val="18"/>
                <w:szCs w:val="18"/>
              </w:rPr>
              <w:t>18</w:t>
            </w:r>
          </w:p>
        </w:tc>
        <w:tc>
          <w:tcPr>
            <w:tcW w:w="851" w:type="dxa"/>
          </w:tcPr>
          <w:p w14:paraId="14756EC4">
            <w:pPr>
              <w:jc w:val="center"/>
              <w:rPr>
                <w:rFonts w:cstheme="minorHAnsi"/>
                <w:sz w:val="18"/>
                <w:szCs w:val="18"/>
              </w:rPr>
            </w:pPr>
            <w:r>
              <w:rPr>
                <w:sz w:val="18"/>
                <w:szCs w:val="18"/>
              </w:rPr>
              <w:t>19</w:t>
            </w:r>
          </w:p>
        </w:tc>
        <w:tc>
          <w:tcPr>
            <w:tcW w:w="852" w:type="dxa"/>
          </w:tcPr>
          <w:p w14:paraId="782717E3">
            <w:pPr>
              <w:jc w:val="center"/>
              <w:rPr>
                <w:rFonts w:cstheme="minorHAnsi"/>
                <w:sz w:val="18"/>
                <w:szCs w:val="18"/>
              </w:rPr>
            </w:pPr>
            <w:r>
              <w:rPr>
                <w:sz w:val="18"/>
                <w:szCs w:val="18"/>
              </w:rPr>
              <w:t>20</w:t>
            </w:r>
          </w:p>
        </w:tc>
        <w:tc>
          <w:tcPr>
            <w:tcW w:w="851" w:type="dxa"/>
          </w:tcPr>
          <w:p w14:paraId="0ECC52A2">
            <w:pPr>
              <w:jc w:val="center"/>
              <w:rPr>
                <w:rFonts w:cstheme="minorHAnsi"/>
                <w:sz w:val="18"/>
                <w:szCs w:val="18"/>
              </w:rPr>
            </w:pPr>
            <w:r>
              <w:rPr>
                <w:sz w:val="18"/>
                <w:szCs w:val="18"/>
              </w:rPr>
              <w:t>21</w:t>
            </w:r>
          </w:p>
        </w:tc>
        <w:tc>
          <w:tcPr>
            <w:tcW w:w="852" w:type="dxa"/>
          </w:tcPr>
          <w:p w14:paraId="4F8ACB5F">
            <w:pPr>
              <w:jc w:val="center"/>
              <w:rPr>
                <w:rFonts w:cstheme="minorHAnsi"/>
                <w:sz w:val="18"/>
                <w:szCs w:val="18"/>
              </w:rPr>
            </w:pPr>
            <w:r>
              <w:rPr>
                <w:sz w:val="18"/>
                <w:szCs w:val="18"/>
              </w:rPr>
              <w:t>22</w:t>
            </w:r>
          </w:p>
        </w:tc>
        <w:tc>
          <w:tcPr>
            <w:tcW w:w="851" w:type="dxa"/>
          </w:tcPr>
          <w:p w14:paraId="1AA8D009">
            <w:pPr>
              <w:jc w:val="center"/>
              <w:rPr>
                <w:rFonts w:cstheme="minorHAnsi"/>
                <w:sz w:val="18"/>
                <w:szCs w:val="18"/>
              </w:rPr>
            </w:pPr>
            <w:r>
              <w:rPr>
                <w:sz w:val="18"/>
                <w:szCs w:val="18"/>
              </w:rPr>
              <w:t>23</w:t>
            </w:r>
          </w:p>
        </w:tc>
        <w:tc>
          <w:tcPr>
            <w:tcW w:w="852" w:type="dxa"/>
          </w:tcPr>
          <w:p w14:paraId="5941988C">
            <w:pPr>
              <w:jc w:val="center"/>
              <w:rPr>
                <w:rFonts w:cstheme="minorHAnsi"/>
                <w:sz w:val="18"/>
                <w:szCs w:val="18"/>
              </w:rPr>
            </w:pPr>
            <w:r>
              <w:rPr>
                <w:sz w:val="18"/>
                <w:szCs w:val="18"/>
              </w:rPr>
              <w:t>24</w:t>
            </w:r>
          </w:p>
        </w:tc>
        <w:tc>
          <w:tcPr>
            <w:tcW w:w="851" w:type="dxa"/>
          </w:tcPr>
          <w:p w14:paraId="4486244D">
            <w:pPr>
              <w:jc w:val="center"/>
              <w:rPr>
                <w:rFonts w:cstheme="minorHAnsi"/>
                <w:sz w:val="18"/>
                <w:szCs w:val="18"/>
              </w:rPr>
            </w:pPr>
            <w:r>
              <w:rPr>
                <w:sz w:val="18"/>
                <w:szCs w:val="18"/>
              </w:rPr>
              <w:t>25</w:t>
            </w:r>
          </w:p>
        </w:tc>
        <w:tc>
          <w:tcPr>
            <w:tcW w:w="852" w:type="dxa"/>
          </w:tcPr>
          <w:p w14:paraId="692B77F6">
            <w:pPr>
              <w:jc w:val="center"/>
              <w:rPr>
                <w:rFonts w:cstheme="minorHAnsi"/>
                <w:sz w:val="18"/>
                <w:szCs w:val="18"/>
              </w:rPr>
            </w:pPr>
            <w:r>
              <w:rPr>
                <w:sz w:val="18"/>
                <w:szCs w:val="18"/>
              </w:rPr>
              <w:t>26</w:t>
            </w:r>
          </w:p>
        </w:tc>
        <w:tc>
          <w:tcPr>
            <w:tcW w:w="851" w:type="dxa"/>
          </w:tcPr>
          <w:p w14:paraId="43A5F7FA">
            <w:pPr>
              <w:jc w:val="center"/>
              <w:rPr>
                <w:rFonts w:cstheme="minorHAnsi"/>
                <w:sz w:val="18"/>
                <w:szCs w:val="18"/>
              </w:rPr>
            </w:pPr>
            <w:r>
              <w:rPr>
                <w:sz w:val="18"/>
                <w:szCs w:val="18"/>
              </w:rPr>
              <w:t>27</w:t>
            </w:r>
          </w:p>
        </w:tc>
        <w:tc>
          <w:tcPr>
            <w:tcW w:w="852" w:type="dxa"/>
          </w:tcPr>
          <w:p w14:paraId="512702F8">
            <w:pPr>
              <w:jc w:val="center"/>
              <w:rPr>
                <w:rFonts w:cstheme="minorHAnsi"/>
                <w:sz w:val="18"/>
                <w:szCs w:val="18"/>
              </w:rPr>
            </w:pPr>
            <w:r>
              <w:rPr>
                <w:sz w:val="18"/>
                <w:szCs w:val="18"/>
              </w:rPr>
              <w:t>28</w:t>
            </w:r>
          </w:p>
        </w:tc>
        <w:tc>
          <w:tcPr>
            <w:tcW w:w="851" w:type="dxa"/>
          </w:tcPr>
          <w:p w14:paraId="60A9B311">
            <w:pPr>
              <w:jc w:val="center"/>
              <w:rPr>
                <w:rFonts w:cstheme="minorHAnsi"/>
                <w:sz w:val="18"/>
                <w:szCs w:val="18"/>
              </w:rPr>
            </w:pPr>
            <w:r>
              <w:rPr>
                <w:sz w:val="18"/>
                <w:szCs w:val="18"/>
              </w:rPr>
              <w:t>29</w:t>
            </w:r>
          </w:p>
        </w:tc>
        <w:tc>
          <w:tcPr>
            <w:tcW w:w="852" w:type="dxa"/>
          </w:tcPr>
          <w:p w14:paraId="69477E3F">
            <w:pPr>
              <w:jc w:val="center"/>
              <w:rPr>
                <w:rFonts w:cstheme="minorHAnsi"/>
                <w:sz w:val="18"/>
                <w:szCs w:val="18"/>
              </w:rPr>
            </w:pPr>
            <w:r>
              <w:rPr>
                <w:sz w:val="18"/>
                <w:szCs w:val="18"/>
              </w:rPr>
              <w:t>30</w:t>
            </w:r>
          </w:p>
        </w:tc>
      </w:tr>
      <w:tr w14:paraId="4CAC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tcPr>
          <w:p w14:paraId="37A43BDE">
            <w:pPr>
              <w:rPr>
                <w:rFonts w:cstheme="minorHAnsi"/>
                <w:sz w:val="18"/>
                <w:szCs w:val="18"/>
              </w:rPr>
            </w:pPr>
            <w:r>
              <w:rPr>
                <w:sz w:val="18"/>
                <w:szCs w:val="18"/>
              </w:rPr>
              <w:t>1</w:t>
            </w:r>
          </w:p>
        </w:tc>
        <w:tc>
          <w:tcPr>
            <w:tcW w:w="1534" w:type="dxa"/>
          </w:tcPr>
          <w:p w14:paraId="32998B64">
            <w:pPr>
              <w:rPr>
                <w:rFonts w:cstheme="minorHAnsi"/>
                <w:sz w:val="18"/>
                <w:szCs w:val="18"/>
              </w:rPr>
            </w:pPr>
            <w:r>
              <w:rPr>
                <w:rFonts w:hint="eastAsia"/>
                <w:sz w:val="18"/>
                <w:szCs w:val="18"/>
              </w:rPr>
              <w:t>现金流入</w:t>
            </w:r>
          </w:p>
        </w:tc>
        <w:tc>
          <w:tcPr>
            <w:tcW w:w="851" w:type="dxa"/>
          </w:tcPr>
          <w:p w14:paraId="478549B4">
            <w:pPr>
              <w:rPr>
                <w:rFonts w:cstheme="minorHAnsi"/>
                <w:color w:val="000000" w:themeColor="text1"/>
                <w:sz w:val="18"/>
                <w:szCs w:val="18"/>
                <w14:textFill>
                  <w14:solidFill>
                    <w14:schemeClr w14:val="tx1"/>
                  </w14:solidFill>
                </w14:textFill>
              </w:rPr>
            </w:pPr>
            <w:r>
              <w:rPr>
                <w:sz w:val="18"/>
                <w:szCs w:val="18"/>
              </w:rPr>
              <w:t xml:space="preserve"> 938.92 </w:t>
            </w:r>
          </w:p>
        </w:tc>
        <w:tc>
          <w:tcPr>
            <w:tcW w:w="851" w:type="dxa"/>
          </w:tcPr>
          <w:p w14:paraId="5F695814">
            <w:pPr>
              <w:rPr>
                <w:rFonts w:cstheme="minorHAnsi"/>
                <w:color w:val="000000" w:themeColor="text1"/>
                <w:sz w:val="18"/>
                <w:szCs w:val="18"/>
                <w14:textFill>
                  <w14:solidFill>
                    <w14:schemeClr w14:val="tx1"/>
                  </w14:solidFill>
                </w14:textFill>
              </w:rPr>
            </w:pPr>
            <w:r>
              <w:rPr>
                <w:sz w:val="18"/>
                <w:szCs w:val="18"/>
              </w:rPr>
              <w:t xml:space="preserve"> 938.92 </w:t>
            </w:r>
          </w:p>
        </w:tc>
        <w:tc>
          <w:tcPr>
            <w:tcW w:w="852" w:type="dxa"/>
          </w:tcPr>
          <w:p w14:paraId="6764E15D">
            <w:pPr>
              <w:rPr>
                <w:rFonts w:cstheme="minorHAnsi"/>
                <w:color w:val="000000" w:themeColor="text1"/>
                <w:sz w:val="18"/>
                <w:szCs w:val="18"/>
                <w14:textFill>
                  <w14:solidFill>
                    <w14:schemeClr w14:val="tx1"/>
                  </w14:solidFill>
                </w14:textFill>
              </w:rPr>
            </w:pPr>
            <w:r>
              <w:rPr>
                <w:sz w:val="18"/>
                <w:szCs w:val="18"/>
              </w:rPr>
              <w:t xml:space="preserve"> 938.92 </w:t>
            </w:r>
          </w:p>
        </w:tc>
        <w:tc>
          <w:tcPr>
            <w:tcW w:w="851" w:type="dxa"/>
          </w:tcPr>
          <w:p w14:paraId="24268E6B">
            <w:pPr>
              <w:rPr>
                <w:rFonts w:cstheme="minorHAnsi"/>
                <w:color w:val="000000" w:themeColor="text1"/>
                <w:sz w:val="18"/>
                <w:szCs w:val="18"/>
                <w14:textFill>
                  <w14:solidFill>
                    <w14:schemeClr w14:val="tx1"/>
                  </w14:solidFill>
                </w14:textFill>
              </w:rPr>
            </w:pPr>
            <w:r>
              <w:rPr>
                <w:sz w:val="18"/>
                <w:szCs w:val="18"/>
              </w:rPr>
              <w:t xml:space="preserve"> 938.92 </w:t>
            </w:r>
          </w:p>
        </w:tc>
        <w:tc>
          <w:tcPr>
            <w:tcW w:w="852" w:type="dxa"/>
          </w:tcPr>
          <w:p w14:paraId="76326C58">
            <w:pPr>
              <w:rPr>
                <w:rFonts w:cstheme="minorHAnsi"/>
                <w:color w:val="000000" w:themeColor="text1"/>
                <w:sz w:val="18"/>
                <w:szCs w:val="18"/>
                <w14:textFill>
                  <w14:solidFill>
                    <w14:schemeClr w14:val="tx1"/>
                  </w14:solidFill>
                </w14:textFill>
              </w:rPr>
            </w:pPr>
            <w:r>
              <w:rPr>
                <w:sz w:val="18"/>
                <w:szCs w:val="18"/>
              </w:rPr>
              <w:t xml:space="preserve"> 938.92 </w:t>
            </w:r>
          </w:p>
        </w:tc>
        <w:tc>
          <w:tcPr>
            <w:tcW w:w="851" w:type="dxa"/>
          </w:tcPr>
          <w:p w14:paraId="07736522">
            <w:pPr>
              <w:rPr>
                <w:rFonts w:cstheme="minorHAnsi"/>
                <w:color w:val="000000" w:themeColor="text1"/>
                <w:sz w:val="18"/>
                <w:szCs w:val="18"/>
                <w14:textFill>
                  <w14:solidFill>
                    <w14:schemeClr w14:val="tx1"/>
                  </w14:solidFill>
                </w14:textFill>
              </w:rPr>
            </w:pPr>
            <w:r>
              <w:rPr>
                <w:sz w:val="18"/>
                <w:szCs w:val="18"/>
              </w:rPr>
              <w:t xml:space="preserve"> 938.92 </w:t>
            </w:r>
          </w:p>
        </w:tc>
        <w:tc>
          <w:tcPr>
            <w:tcW w:w="852" w:type="dxa"/>
          </w:tcPr>
          <w:p w14:paraId="70FB71E3">
            <w:pPr>
              <w:rPr>
                <w:rFonts w:cstheme="minorHAnsi"/>
                <w:color w:val="000000" w:themeColor="text1"/>
                <w:sz w:val="18"/>
                <w:szCs w:val="18"/>
                <w14:textFill>
                  <w14:solidFill>
                    <w14:schemeClr w14:val="tx1"/>
                  </w14:solidFill>
                </w14:textFill>
              </w:rPr>
            </w:pPr>
            <w:r>
              <w:rPr>
                <w:sz w:val="18"/>
                <w:szCs w:val="18"/>
              </w:rPr>
              <w:t xml:space="preserve"> 938.92 </w:t>
            </w:r>
          </w:p>
        </w:tc>
        <w:tc>
          <w:tcPr>
            <w:tcW w:w="851" w:type="dxa"/>
          </w:tcPr>
          <w:p w14:paraId="794CF591">
            <w:pPr>
              <w:rPr>
                <w:rFonts w:cstheme="minorHAnsi"/>
                <w:color w:val="000000" w:themeColor="text1"/>
                <w:sz w:val="18"/>
                <w:szCs w:val="18"/>
                <w14:textFill>
                  <w14:solidFill>
                    <w14:schemeClr w14:val="tx1"/>
                  </w14:solidFill>
                </w14:textFill>
              </w:rPr>
            </w:pPr>
            <w:r>
              <w:rPr>
                <w:sz w:val="18"/>
                <w:szCs w:val="18"/>
              </w:rPr>
              <w:t xml:space="preserve"> 938.92 </w:t>
            </w:r>
          </w:p>
        </w:tc>
        <w:tc>
          <w:tcPr>
            <w:tcW w:w="852" w:type="dxa"/>
          </w:tcPr>
          <w:p w14:paraId="1875AF4B">
            <w:pPr>
              <w:rPr>
                <w:rFonts w:cstheme="minorHAnsi"/>
                <w:color w:val="000000" w:themeColor="text1"/>
                <w:sz w:val="18"/>
                <w:szCs w:val="18"/>
                <w14:textFill>
                  <w14:solidFill>
                    <w14:schemeClr w14:val="tx1"/>
                  </w14:solidFill>
                </w14:textFill>
              </w:rPr>
            </w:pPr>
            <w:r>
              <w:rPr>
                <w:sz w:val="18"/>
                <w:szCs w:val="18"/>
              </w:rPr>
              <w:t xml:space="preserve"> 938.92 </w:t>
            </w:r>
          </w:p>
        </w:tc>
        <w:tc>
          <w:tcPr>
            <w:tcW w:w="851" w:type="dxa"/>
          </w:tcPr>
          <w:p w14:paraId="75D28E35">
            <w:pPr>
              <w:rPr>
                <w:rFonts w:cstheme="minorHAnsi"/>
                <w:color w:val="000000" w:themeColor="text1"/>
                <w:sz w:val="18"/>
                <w:szCs w:val="18"/>
                <w14:textFill>
                  <w14:solidFill>
                    <w14:schemeClr w14:val="tx1"/>
                  </w14:solidFill>
                </w14:textFill>
              </w:rPr>
            </w:pPr>
            <w:r>
              <w:rPr>
                <w:sz w:val="18"/>
                <w:szCs w:val="18"/>
              </w:rPr>
              <w:t xml:space="preserve"> 938.92 </w:t>
            </w:r>
          </w:p>
        </w:tc>
        <w:tc>
          <w:tcPr>
            <w:tcW w:w="852" w:type="dxa"/>
          </w:tcPr>
          <w:p w14:paraId="29A68FC6">
            <w:pPr>
              <w:rPr>
                <w:rFonts w:cstheme="minorHAnsi"/>
                <w:color w:val="000000" w:themeColor="text1"/>
                <w:sz w:val="18"/>
                <w:szCs w:val="18"/>
                <w14:textFill>
                  <w14:solidFill>
                    <w14:schemeClr w14:val="tx1"/>
                  </w14:solidFill>
                </w14:textFill>
              </w:rPr>
            </w:pPr>
            <w:r>
              <w:rPr>
                <w:sz w:val="18"/>
                <w:szCs w:val="18"/>
              </w:rPr>
              <w:t xml:space="preserve"> 938.92 </w:t>
            </w:r>
          </w:p>
        </w:tc>
        <w:tc>
          <w:tcPr>
            <w:tcW w:w="851" w:type="dxa"/>
          </w:tcPr>
          <w:p w14:paraId="75E676F8">
            <w:pPr>
              <w:rPr>
                <w:rFonts w:cstheme="minorHAnsi"/>
                <w:color w:val="000000" w:themeColor="text1"/>
                <w:sz w:val="18"/>
                <w:szCs w:val="18"/>
                <w14:textFill>
                  <w14:solidFill>
                    <w14:schemeClr w14:val="tx1"/>
                  </w14:solidFill>
                </w14:textFill>
              </w:rPr>
            </w:pPr>
            <w:r>
              <w:rPr>
                <w:sz w:val="18"/>
                <w:szCs w:val="18"/>
              </w:rPr>
              <w:t xml:space="preserve"> 938.92 </w:t>
            </w:r>
          </w:p>
        </w:tc>
        <w:tc>
          <w:tcPr>
            <w:tcW w:w="852" w:type="dxa"/>
          </w:tcPr>
          <w:p w14:paraId="256EF258">
            <w:pPr>
              <w:rPr>
                <w:rFonts w:cstheme="minorHAnsi"/>
                <w:color w:val="000000" w:themeColor="text1"/>
                <w:sz w:val="18"/>
                <w:szCs w:val="18"/>
                <w14:textFill>
                  <w14:solidFill>
                    <w14:schemeClr w14:val="tx1"/>
                  </w14:solidFill>
                </w14:textFill>
              </w:rPr>
            </w:pPr>
            <w:r>
              <w:rPr>
                <w:sz w:val="18"/>
                <w:szCs w:val="18"/>
              </w:rPr>
              <w:t xml:space="preserve"> 938.92 </w:t>
            </w:r>
          </w:p>
        </w:tc>
        <w:tc>
          <w:tcPr>
            <w:tcW w:w="851" w:type="dxa"/>
          </w:tcPr>
          <w:p w14:paraId="2C53E353">
            <w:pPr>
              <w:rPr>
                <w:rFonts w:cstheme="minorHAnsi"/>
                <w:color w:val="000000" w:themeColor="text1"/>
                <w:sz w:val="18"/>
                <w:szCs w:val="18"/>
                <w14:textFill>
                  <w14:solidFill>
                    <w14:schemeClr w14:val="tx1"/>
                  </w14:solidFill>
                </w14:textFill>
              </w:rPr>
            </w:pPr>
            <w:r>
              <w:rPr>
                <w:sz w:val="18"/>
                <w:szCs w:val="18"/>
              </w:rPr>
              <w:t xml:space="preserve"> 938.92 </w:t>
            </w:r>
          </w:p>
        </w:tc>
        <w:tc>
          <w:tcPr>
            <w:tcW w:w="852" w:type="dxa"/>
          </w:tcPr>
          <w:p w14:paraId="2944BA53">
            <w:pPr>
              <w:rPr>
                <w:rFonts w:cstheme="minorHAnsi"/>
                <w:color w:val="000000" w:themeColor="text1"/>
                <w:sz w:val="18"/>
                <w:szCs w:val="18"/>
                <w14:textFill>
                  <w14:solidFill>
                    <w14:schemeClr w14:val="tx1"/>
                  </w14:solidFill>
                </w14:textFill>
              </w:rPr>
            </w:pPr>
            <w:r>
              <w:rPr>
                <w:sz w:val="18"/>
                <w:szCs w:val="18"/>
              </w:rPr>
              <w:t xml:space="preserve"> 938.92 </w:t>
            </w:r>
          </w:p>
        </w:tc>
      </w:tr>
      <w:tr w14:paraId="3809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8" w:type="dxa"/>
          </w:tcPr>
          <w:p w14:paraId="1C52CA09">
            <w:pPr>
              <w:rPr>
                <w:rFonts w:cstheme="minorHAnsi"/>
                <w:sz w:val="18"/>
                <w:szCs w:val="18"/>
              </w:rPr>
            </w:pPr>
            <w:r>
              <w:rPr>
                <w:sz w:val="18"/>
                <w:szCs w:val="18"/>
              </w:rPr>
              <w:t>1.1</w:t>
            </w:r>
          </w:p>
        </w:tc>
        <w:tc>
          <w:tcPr>
            <w:tcW w:w="1534" w:type="dxa"/>
          </w:tcPr>
          <w:p w14:paraId="2F1D8E84">
            <w:pPr>
              <w:rPr>
                <w:rFonts w:cstheme="minorHAnsi"/>
                <w:sz w:val="18"/>
                <w:szCs w:val="18"/>
              </w:rPr>
            </w:pPr>
            <w:r>
              <w:rPr>
                <w:rFonts w:hint="eastAsia"/>
                <w:sz w:val="18"/>
                <w:szCs w:val="18"/>
              </w:rPr>
              <w:t>营业收入（含税）</w:t>
            </w:r>
          </w:p>
        </w:tc>
        <w:tc>
          <w:tcPr>
            <w:tcW w:w="851" w:type="dxa"/>
          </w:tcPr>
          <w:p w14:paraId="1BF1303A">
            <w:pPr>
              <w:rPr>
                <w:rFonts w:cstheme="minorHAnsi"/>
                <w:color w:val="000000" w:themeColor="text1"/>
                <w:sz w:val="18"/>
                <w:szCs w:val="18"/>
                <w14:textFill>
                  <w14:solidFill>
                    <w14:schemeClr w14:val="tx1"/>
                  </w14:solidFill>
                </w14:textFill>
              </w:rPr>
            </w:pPr>
            <w:r>
              <w:rPr>
                <w:sz w:val="18"/>
                <w:szCs w:val="18"/>
              </w:rPr>
              <w:t xml:space="preserve"> 919.00 </w:t>
            </w:r>
          </w:p>
        </w:tc>
        <w:tc>
          <w:tcPr>
            <w:tcW w:w="851" w:type="dxa"/>
          </w:tcPr>
          <w:p w14:paraId="0ED3E57C">
            <w:pPr>
              <w:rPr>
                <w:rFonts w:cstheme="minorHAnsi"/>
                <w:color w:val="000000" w:themeColor="text1"/>
                <w:sz w:val="18"/>
                <w:szCs w:val="18"/>
                <w14:textFill>
                  <w14:solidFill>
                    <w14:schemeClr w14:val="tx1"/>
                  </w14:solidFill>
                </w14:textFill>
              </w:rPr>
            </w:pPr>
            <w:r>
              <w:rPr>
                <w:sz w:val="18"/>
                <w:szCs w:val="18"/>
              </w:rPr>
              <w:t xml:space="preserve"> 919.00 </w:t>
            </w:r>
          </w:p>
        </w:tc>
        <w:tc>
          <w:tcPr>
            <w:tcW w:w="852" w:type="dxa"/>
          </w:tcPr>
          <w:p w14:paraId="7217734D">
            <w:pPr>
              <w:rPr>
                <w:rFonts w:cstheme="minorHAnsi"/>
                <w:color w:val="000000" w:themeColor="text1"/>
                <w:sz w:val="18"/>
                <w:szCs w:val="18"/>
                <w14:textFill>
                  <w14:solidFill>
                    <w14:schemeClr w14:val="tx1"/>
                  </w14:solidFill>
                </w14:textFill>
              </w:rPr>
            </w:pPr>
            <w:r>
              <w:rPr>
                <w:sz w:val="18"/>
                <w:szCs w:val="18"/>
              </w:rPr>
              <w:t xml:space="preserve"> 919.00 </w:t>
            </w:r>
          </w:p>
        </w:tc>
        <w:tc>
          <w:tcPr>
            <w:tcW w:w="851" w:type="dxa"/>
          </w:tcPr>
          <w:p w14:paraId="08AF4617">
            <w:pPr>
              <w:rPr>
                <w:rFonts w:cstheme="minorHAnsi"/>
                <w:color w:val="000000" w:themeColor="text1"/>
                <w:sz w:val="18"/>
                <w:szCs w:val="18"/>
                <w14:textFill>
                  <w14:solidFill>
                    <w14:schemeClr w14:val="tx1"/>
                  </w14:solidFill>
                </w14:textFill>
              </w:rPr>
            </w:pPr>
            <w:r>
              <w:rPr>
                <w:sz w:val="18"/>
                <w:szCs w:val="18"/>
              </w:rPr>
              <w:t xml:space="preserve"> 919.00 </w:t>
            </w:r>
          </w:p>
        </w:tc>
        <w:tc>
          <w:tcPr>
            <w:tcW w:w="852" w:type="dxa"/>
          </w:tcPr>
          <w:p w14:paraId="4720903C">
            <w:pPr>
              <w:rPr>
                <w:rFonts w:cstheme="minorHAnsi"/>
                <w:color w:val="000000" w:themeColor="text1"/>
                <w:sz w:val="18"/>
                <w:szCs w:val="18"/>
                <w14:textFill>
                  <w14:solidFill>
                    <w14:schemeClr w14:val="tx1"/>
                  </w14:solidFill>
                </w14:textFill>
              </w:rPr>
            </w:pPr>
            <w:r>
              <w:rPr>
                <w:sz w:val="18"/>
                <w:szCs w:val="18"/>
              </w:rPr>
              <w:t xml:space="preserve"> 919.00 </w:t>
            </w:r>
          </w:p>
        </w:tc>
        <w:tc>
          <w:tcPr>
            <w:tcW w:w="851" w:type="dxa"/>
          </w:tcPr>
          <w:p w14:paraId="474A2A42">
            <w:pPr>
              <w:rPr>
                <w:rFonts w:cstheme="minorHAnsi"/>
                <w:color w:val="000000" w:themeColor="text1"/>
                <w:sz w:val="18"/>
                <w:szCs w:val="18"/>
                <w14:textFill>
                  <w14:solidFill>
                    <w14:schemeClr w14:val="tx1"/>
                  </w14:solidFill>
                </w14:textFill>
              </w:rPr>
            </w:pPr>
            <w:r>
              <w:rPr>
                <w:sz w:val="18"/>
                <w:szCs w:val="18"/>
              </w:rPr>
              <w:t xml:space="preserve"> 919.00 </w:t>
            </w:r>
          </w:p>
        </w:tc>
        <w:tc>
          <w:tcPr>
            <w:tcW w:w="852" w:type="dxa"/>
          </w:tcPr>
          <w:p w14:paraId="0344055D">
            <w:pPr>
              <w:rPr>
                <w:rFonts w:cstheme="minorHAnsi"/>
                <w:color w:val="000000" w:themeColor="text1"/>
                <w:sz w:val="18"/>
                <w:szCs w:val="18"/>
                <w14:textFill>
                  <w14:solidFill>
                    <w14:schemeClr w14:val="tx1"/>
                  </w14:solidFill>
                </w14:textFill>
              </w:rPr>
            </w:pPr>
            <w:r>
              <w:rPr>
                <w:sz w:val="18"/>
                <w:szCs w:val="18"/>
              </w:rPr>
              <w:t xml:space="preserve"> 919.00 </w:t>
            </w:r>
          </w:p>
        </w:tc>
        <w:tc>
          <w:tcPr>
            <w:tcW w:w="851" w:type="dxa"/>
          </w:tcPr>
          <w:p w14:paraId="638E7D07">
            <w:pPr>
              <w:rPr>
                <w:rFonts w:cstheme="minorHAnsi"/>
                <w:color w:val="000000" w:themeColor="text1"/>
                <w:sz w:val="18"/>
                <w:szCs w:val="18"/>
                <w14:textFill>
                  <w14:solidFill>
                    <w14:schemeClr w14:val="tx1"/>
                  </w14:solidFill>
                </w14:textFill>
              </w:rPr>
            </w:pPr>
            <w:r>
              <w:rPr>
                <w:sz w:val="18"/>
                <w:szCs w:val="18"/>
              </w:rPr>
              <w:t xml:space="preserve"> 919.00 </w:t>
            </w:r>
          </w:p>
        </w:tc>
        <w:tc>
          <w:tcPr>
            <w:tcW w:w="852" w:type="dxa"/>
          </w:tcPr>
          <w:p w14:paraId="6C5F50E1">
            <w:pPr>
              <w:rPr>
                <w:rFonts w:cstheme="minorHAnsi"/>
                <w:color w:val="000000" w:themeColor="text1"/>
                <w:sz w:val="18"/>
                <w:szCs w:val="18"/>
                <w14:textFill>
                  <w14:solidFill>
                    <w14:schemeClr w14:val="tx1"/>
                  </w14:solidFill>
                </w14:textFill>
              </w:rPr>
            </w:pPr>
            <w:r>
              <w:rPr>
                <w:sz w:val="18"/>
                <w:szCs w:val="18"/>
              </w:rPr>
              <w:t xml:space="preserve"> 919.00 </w:t>
            </w:r>
          </w:p>
        </w:tc>
        <w:tc>
          <w:tcPr>
            <w:tcW w:w="851" w:type="dxa"/>
          </w:tcPr>
          <w:p w14:paraId="1FAEC8B1">
            <w:pPr>
              <w:rPr>
                <w:rFonts w:cstheme="minorHAnsi"/>
                <w:color w:val="000000" w:themeColor="text1"/>
                <w:sz w:val="18"/>
                <w:szCs w:val="18"/>
                <w14:textFill>
                  <w14:solidFill>
                    <w14:schemeClr w14:val="tx1"/>
                  </w14:solidFill>
                </w14:textFill>
              </w:rPr>
            </w:pPr>
            <w:r>
              <w:rPr>
                <w:sz w:val="18"/>
                <w:szCs w:val="18"/>
              </w:rPr>
              <w:t xml:space="preserve"> 919.00 </w:t>
            </w:r>
          </w:p>
        </w:tc>
        <w:tc>
          <w:tcPr>
            <w:tcW w:w="852" w:type="dxa"/>
          </w:tcPr>
          <w:p w14:paraId="0F55F902">
            <w:pPr>
              <w:rPr>
                <w:rFonts w:cstheme="minorHAnsi"/>
                <w:color w:val="000000" w:themeColor="text1"/>
                <w:sz w:val="18"/>
                <w:szCs w:val="18"/>
                <w14:textFill>
                  <w14:solidFill>
                    <w14:schemeClr w14:val="tx1"/>
                  </w14:solidFill>
                </w14:textFill>
              </w:rPr>
            </w:pPr>
            <w:r>
              <w:rPr>
                <w:sz w:val="18"/>
                <w:szCs w:val="18"/>
              </w:rPr>
              <w:t xml:space="preserve"> 919.00 </w:t>
            </w:r>
          </w:p>
        </w:tc>
        <w:tc>
          <w:tcPr>
            <w:tcW w:w="851" w:type="dxa"/>
          </w:tcPr>
          <w:p w14:paraId="703E78DF">
            <w:pPr>
              <w:rPr>
                <w:rFonts w:cstheme="minorHAnsi"/>
                <w:color w:val="000000" w:themeColor="text1"/>
                <w:sz w:val="18"/>
                <w:szCs w:val="18"/>
                <w14:textFill>
                  <w14:solidFill>
                    <w14:schemeClr w14:val="tx1"/>
                  </w14:solidFill>
                </w14:textFill>
              </w:rPr>
            </w:pPr>
            <w:r>
              <w:rPr>
                <w:sz w:val="18"/>
                <w:szCs w:val="18"/>
              </w:rPr>
              <w:t xml:space="preserve"> 919.00 </w:t>
            </w:r>
          </w:p>
        </w:tc>
        <w:tc>
          <w:tcPr>
            <w:tcW w:w="852" w:type="dxa"/>
          </w:tcPr>
          <w:p w14:paraId="27AFF73A">
            <w:pPr>
              <w:rPr>
                <w:rFonts w:cstheme="minorHAnsi"/>
                <w:color w:val="000000" w:themeColor="text1"/>
                <w:sz w:val="18"/>
                <w:szCs w:val="18"/>
                <w14:textFill>
                  <w14:solidFill>
                    <w14:schemeClr w14:val="tx1"/>
                  </w14:solidFill>
                </w14:textFill>
              </w:rPr>
            </w:pPr>
            <w:r>
              <w:rPr>
                <w:sz w:val="18"/>
                <w:szCs w:val="18"/>
              </w:rPr>
              <w:t xml:space="preserve"> 919.00 </w:t>
            </w:r>
          </w:p>
        </w:tc>
        <w:tc>
          <w:tcPr>
            <w:tcW w:w="851" w:type="dxa"/>
          </w:tcPr>
          <w:p w14:paraId="24AC3B6C">
            <w:pPr>
              <w:rPr>
                <w:rFonts w:cstheme="minorHAnsi"/>
                <w:color w:val="000000" w:themeColor="text1"/>
                <w:sz w:val="18"/>
                <w:szCs w:val="18"/>
                <w14:textFill>
                  <w14:solidFill>
                    <w14:schemeClr w14:val="tx1"/>
                  </w14:solidFill>
                </w14:textFill>
              </w:rPr>
            </w:pPr>
            <w:r>
              <w:rPr>
                <w:sz w:val="18"/>
                <w:szCs w:val="18"/>
              </w:rPr>
              <w:t xml:space="preserve"> 919.00 </w:t>
            </w:r>
          </w:p>
        </w:tc>
        <w:tc>
          <w:tcPr>
            <w:tcW w:w="852" w:type="dxa"/>
          </w:tcPr>
          <w:p w14:paraId="7E705F6B">
            <w:pPr>
              <w:rPr>
                <w:rFonts w:cstheme="minorHAnsi"/>
                <w:color w:val="000000" w:themeColor="text1"/>
                <w:sz w:val="18"/>
                <w:szCs w:val="18"/>
                <w14:textFill>
                  <w14:solidFill>
                    <w14:schemeClr w14:val="tx1"/>
                  </w14:solidFill>
                </w14:textFill>
              </w:rPr>
            </w:pPr>
            <w:r>
              <w:rPr>
                <w:sz w:val="18"/>
                <w:szCs w:val="18"/>
              </w:rPr>
              <w:t xml:space="preserve"> 919.00 </w:t>
            </w:r>
          </w:p>
        </w:tc>
      </w:tr>
      <w:tr w14:paraId="02D9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tcPr>
          <w:p w14:paraId="6177C4D6">
            <w:pPr>
              <w:rPr>
                <w:rFonts w:cstheme="minorHAnsi"/>
                <w:sz w:val="18"/>
                <w:szCs w:val="18"/>
              </w:rPr>
            </w:pPr>
            <w:r>
              <w:rPr>
                <w:sz w:val="18"/>
                <w:szCs w:val="18"/>
              </w:rPr>
              <w:t>1.2</w:t>
            </w:r>
          </w:p>
        </w:tc>
        <w:tc>
          <w:tcPr>
            <w:tcW w:w="1534" w:type="dxa"/>
          </w:tcPr>
          <w:p w14:paraId="4AC73922">
            <w:pPr>
              <w:rPr>
                <w:rFonts w:cstheme="minorHAnsi"/>
                <w:sz w:val="18"/>
                <w:szCs w:val="18"/>
              </w:rPr>
            </w:pPr>
            <w:r>
              <w:rPr>
                <w:rFonts w:hint="eastAsia"/>
                <w:sz w:val="18"/>
                <w:szCs w:val="18"/>
              </w:rPr>
              <w:t>退税收入</w:t>
            </w:r>
          </w:p>
        </w:tc>
        <w:tc>
          <w:tcPr>
            <w:tcW w:w="851" w:type="dxa"/>
          </w:tcPr>
          <w:p w14:paraId="57E79CB3">
            <w:pPr>
              <w:rPr>
                <w:rFonts w:cstheme="minorHAnsi"/>
                <w:color w:val="000000" w:themeColor="text1"/>
                <w:sz w:val="18"/>
                <w:szCs w:val="18"/>
                <w14:textFill>
                  <w14:solidFill>
                    <w14:schemeClr w14:val="tx1"/>
                  </w14:solidFill>
                </w14:textFill>
              </w:rPr>
            </w:pPr>
            <w:r>
              <w:rPr>
                <w:sz w:val="18"/>
                <w:szCs w:val="18"/>
              </w:rPr>
              <w:t xml:space="preserve"> 19.92 </w:t>
            </w:r>
          </w:p>
        </w:tc>
        <w:tc>
          <w:tcPr>
            <w:tcW w:w="851" w:type="dxa"/>
          </w:tcPr>
          <w:p w14:paraId="6B736693">
            <w:pPr>
              <w:rPr>
                <w:rFonts w:cstheme="minorHAnsi"/>
                <w:color w:val="000000" w:themeColor="text1"/>
                <w:sz w:val="18"/>
                <w:szCs w:val="18"/>
                <w14:textFill>
                  <w14:solidFill>
                    <w14:schemeClr w14:val="tx1"/>
                  </w14:solidFill>
                </w14:textFill>
              </w:rPr>
            </w:pPr>
            <w:r>
              <w:rPr>
                <w:sz w:val="18"/>
                <w:szCs w:val="18"/>
              </w:rPr>
              <w:t xml:space="preserve"> 19.92 </w:t>
            </w:r>
          </w:p>
        </w:tc>
        <w:tc>
          <w:tcPr>
            <w:tcW w:w="852" w:type="dxa"/>
          </w:tcPr>
          <w:p w14:paraId="453316A7">
            <w:pPr>
              <w:rPr>
                <w:rFonts w:cstheme="minorHAnsi"/>
                <w:color w:val="000000" w:themeColor="text1"/>
                <w:sz w:val="18"/>
                <w:szCs w:val="18"/>
                <w14:textFill>
                  <w14:solidFill>
                    <w14:schemeClr w14:val="tx1"/>
                  </w14:solidFill>
                </w14:textFill>
              </w:rPr>
            </w:pPr>
            <w:r>
              <w:rPr>
                <w:sz w:val="18"/>
                <w:szCs w:val="18"/>
              </w:rPr>
              <w:t xml:space="preserve"> 19.92 </w:t>
            </w:r>
          </w:p>
        </w:tc>
        <w:tc>
          <w:tcPr>
            <w:tcW w:w="851" w:type="dxa"/>
          </w:tcPr>
          <w:p w14:paraId="53F8EB3E">
            <w:pPr>
              <w:rPr>
                <w:rFonts w:cstheme="minorHAnsi"/>
                <w:color w:val="000000" w:themeColor="text1"/>
                <w:sz w:val="18"/>
                <w:szCs w:val="18"/>
                <w14:textFill>
                  <w14:solidFill>
                    <w14:schemeClr w14:val="tx1"/>
                  </w14:solidFill>
                </w14:textFill>
              </w:rPr>
            </w:pPr>
            <w:r>
              <w:rPr>
                <w:sz w:val="18"/>
                <w:szCs w:val="18"/>
              </w:rPr>
              <w:t xml:space="preserve"> 19.92 </w:t>
            </w:r>
          </w:p>
        </w:tc>
        <w:tc>
          <w:tcPr>
            <w:tcW w:w="852" w:type="dxa"/>
          </w:tcPr>
          <w:p w14:paraId="0F659CEB">
            <w:pPr>
              <w:rPr>
                <w:rFonts w:cstheme="minorHAnsi"/>
                <w:color w:val="000000" w:themeColor="text1"/>
                <w:sz w:val="18"/>
                <w:szCs w:val="18"/>
                <w14:textFill>
                  <w14:solidFill>
                    <w14:schemeClr w14:val="tx1"/>
                  </w14:solidFill>
                </w14:textFill>
              </w:rPr>
            </w:pPr>
            <w:r>
              <w:rPr>
                <w:sz w:val="18"/>
                <w:szCs w:val="18"/>
              </w:rPr>
              <w:t xml:space="preserve"> 19.92 </w:t>
            </w:r>
          </w:p>
        </w:tc>
        <w:tc>
          <w:tcPr>
            <w:tcW w:w="851" w:type="dxa"/>
          </w:tcPr>
          <w:p w14:paraId="48418C5B">
            <w:pPr>
              <w:rPr>
                <w:rFonts w:cstheme="minorHAnsi"/>
                <w:color w:val="000000" w:themeColor="text1"/>
                <w:sz w:val="18"/>
                <w:szCs w:val="18"/>
                <w14:textFill>
                  <w14:solidFill>
                    <w14:schemeClr w14:val="tx1"/>
                  </w14:solidFill>
                </w14:textFill>
              </w:rPr>
            </w:pPr>
            <w:r>
              <w:rPr>
                <w:sz w:val="18"/>
                <w:szCs w:val="18"/>
              </w:rPr>
              <w:t xml:space="preserve"> 19.92 </w:t>
            </w:r>
          </w:p>
        </w:tc>
        <w:tc>
          <w:tcPr>
            <w:tcW w:w="852" w:type="dxa"/>
          </w:tcPr>
          <w:p w14:paraId="15B2669D">
            <w:pPr>
              <w:rPr>
                <w:rFonts w:cstheme="minorHAnsi"/>
                <w:color w:val="000000" w:themeColor="text1"/>
                <w:sz w:val="18"/>
                <w:szCs w:val="18"/>
                <w14:textFill>
                  <w14:solidFill>
                    <w14:schemeClr w14:val="tx1"/>
                  </w14:solidFill>
                </w14:textFill>
              </w:rPr>
            </w:pPr>
            <w:r>
              <w:rPr>
                <w:sz w:val="18"/>
                <w:szCs w:val="18"/>
              </w:rPr>
              <w:t xml:space="preserve"> 19.92 </w:t>
            </w:r>
          </w:p>
        </w:tc>
        <w:tc>
          <w:tcPr>
            <w:tcW w:w="851" w:type="dxa"/>
          </w:tcPr>
          <w:p w14:paraId="7817498F">
            <w:pPr>
              <w:rPr>
                <w:rFonts w:cstheme="minorHAnsi"/>
                <w:color w:val="000000" w:themeColor="text1"/>
                <w:sz w:val="18"/>
                <w:szCs w:val="18"/>
                <w14:textFill>
                  <w14:solidFill>
                    <w14:schemeClr w14:val="tx1"/>
                  </w14:solidFill>
                </w14:textFill>
              </w:rPr>
            </w:pPr>
            <w:r>
              <w:rPr>
                <w:sz w:val="18"/>
                <w:szCs w:val="18"/>
              </w:rPr>
              <w:t xml:space="preserve"> 19.92 </w:t>
            </w:r>
          </w:p>
        </w:tc>
        <w:tc>
          <w:tcPr>
            <w:tcW w:w="852" w:type="dxa"/>
          </w:tcPr>
          <w:p w14:paraId="306DD974">
            <w:pPr>
              <w:rPr>
                <w:rFonts w:cstheme="minorHAnsi"/>
                <w:color w:val="000000" w:themeColor="text1"/>
                <w:sz w:val="18"/>
                <w:szCs w:val="18"/>
                <w14:textFill>
                  <w14:solidFill>
                    <w14:schemeClr w14:val="tx1"/>
                  </w14:solidFill>
                </w14:textFill>
              </w:rPr>
            </w:pPr>
            <w:r>
              <w:rPr>
                <w:sz w:val="18"/>
                <w:szCs w:val="18"/>
              </w:rPr>
              <w:t xml:space="preserve"> 19.92 </w:t>
            </w:r>
          </w:p>
        </w:tc>
        <w:tc>
          <w:tcPr>
            <w:tcW w:w="851" w:type="dxa"/>
          </w:tcPr>
          <w:p w14:paraId="013BFD34">
            <w:pPr>
              <w:rPr>
                <w:rFonts w:cstheme="minorHAnsi"/>
                <w:color w:val="000000" w:themeColor="text1"/>
                <w:sz w:val="18"/>
                <w:szCs w:val="18"/>
                <w14:textFill>
                  <w14:solidFill>
                    <w14:schemeClr w14:val="tx1"/>
                  </w14:solidFill>
                </w14:textFill>
              </w:rPr>
            </w:pPr>
            <w:r>
              <w:rPr>
                <w:sz w:val="18"/>
                <w:szCs w:val="18"/>
              </w:rPr>
              <w:t xml:space="preserve"> 19.92 </w:t>
            </w:r>
          </w:p>
        </w:tc>
        <w:tc>
          <w:tcPr>
            <w:tcW w:w="852" w:type="dxa"/>
          </w:tcPr>
          <w:p w14:paraId="756D60FF">
            <w:pPr>
              <w:rPr>
                <w:rFonts w:cstheme="minorHAnsi"/>
                <w:color w:val="000000" w:themeColor="text1"/>
                <w:sz w:val="18"/>
                <w:szCs w:val="18"/>
                <w14:textFill>
                  <w14:solidFill>
                    <w14:schemeClr w14:val="tx1"/>
                  </w14:solidFill>
                </w14:textFill>
              </w:rPr>
            </w:pPr>
            <w:r>
              <w:rPr>
                <w:sz w:val="18"/>
                <w:szCs w:val="18"/>
              </w:rPr>
              <w:t xml:space="preserve"> 19.92 </w:t>
            </w:r>
          </w:p>
        </w:tc>
        <w:tc>
          <w:tcPr>
            <w:tcW w:w="851" w:type="dxa"/>
          </w:tcPr>
          <w:p w14:paraId="002EFDD2">
            <w:pPr>
              <w:rPr>
                <w:rFonts w:cstheme="minorHAnsi"/>
                <w:color w:val="000000" w:themeColor="text1"/>
                <w:sz w:val="18"/>
                <w:szCs w:val="18"/>
                <w14:textFill>
                  <w14:solidFill>
                    <w14:schemeClr w14:val="tx1"/>
                  </w14:solidFill>
                </w14:textFill>
              </w:rPr>
            </w:pPr>
            <w:r>
              <w:rPr>
                <w:sz w:val="18"/>
                <w:szCs w:val="18"/>
              </w:rPr>
              <w:t xml:space="preserve"> 19.92 </w:t>
            </w:r>
          </w:p>
        </w:tc>
        <w:tc>
          <w:tcPr>
            <w:tcW w:w="852" w:type="dxa"/>
          </w:tcPr>
          <w:p w14:paraId="25CBFE97">
            <w:pPr>
              <w:rPr>
                <w:rFonts w:cstheme="minorHAnsi"/>
                <w:color w:val="000000" w:themeColor="text1"/>
                <w:sz w:val="18"/>
                <w:szCs w:val="18"/>
                <w14:textFill>
                  <w14:solidFill>
                    <w14:schemeClr w14:val="tx1"/>
                  </w14:solidFill>
                </w14:textFill>
              </w:rPr>
            </w:pPr>
            <w:r>
              <w:rPr>
                <w:sz w:val="18"/>
                <w:szCs w:val="18"/>
              </w:rPr>
              <w:t xml:space="preserve"> 19.92 </w:t>
            </w:r>
          </w:p>
        </w:tc>
        <w:tc>
          <w:tcPr>
            <w:tcW w:w="851" w:type="dxa"/>
          </w:tcPr>
          <w:p w14:paraId="1DF29B29">
            <w:pPr>
              <w:rPr>
                <w:rFonts w:cstheme="minorHAnsi"/>
                <w:color w:val="000000" w:themeColor="text1"/>
                <w:sz w:val="18"/>
                <w:szCs w:val="18"/>
                <w14:textFill>
                  <w14:solidFill>
                    <w14:schemeClr w14:val="tx1"/>
                  </w14:solidFill>
                </w14:textFill>
              </w:rPr>
            </w:pPr>
            <w:r>
              <w:rPr>
                <w:sz w:val="18"/>
                <w:szCs w:val="18"/>
              </w:rPr>
              <w:t xml:space="preserve"> 19.92 </w:t>
            </w:r>
          </w:p>
        </w:tc>
        <w:tc>
          <w:tcPr>
            <w:tcW w:w="852" w:type="dxa"/>
          </w:tcPr>
          <w:p w14:paraId="7F372D83">
            <w:pPr>
              <w:rPr>
                <w:rFonts w:cstheme="minorHAnsi"/>
                <w:color w:val="000000" w:themeColor="text1"/>
                <w:sz w:val="18"/>
                <w:szCs w:val="18"/>
                <w14:textFill>
                  <w14:solidFill>
                    <w14:schemeClr w14:val="tx1"/>
                  </w14:solidFill>
                </w14:textFill>
              </w:rPr>
            </w:pPr>
            <w:r>
              <w:rPr>
                <w:sz w:val="18"/>
                <w:szCs w:val="18"/>
              </w:rPr>
              <w:t xml:space="preserve"> 19.92 </w:t>
            </w:r>
          </w:p>
        </w:tc>
      </w:tr>
      <w:tr w14:paraId="108D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38" w:type="dxa"/>
          </w:tcPr>
          <w:p w14:paraId="7DA2847F">
            <w:pPr>
              <w:rPr>
                <w:rFonts w:cstheme="minorHAnsi"/>
                <w:sz w:val="18"/>
                <w:szCs w:val="18"/>
              </w:rPr>
            </w:pPr>
            <w:r>
              <w:rPr>
                <w:sz w:val="18"/>
                <w:szCs w:val="18"/>
              </w:rPr>
              <w:t>1.3</w:t>
            </w:r>
          </w:p>
        </w:tc>
        <w:tc>
          <w:tcPr>
            <w:tcW w:w="1534" w:type="dxa"/>
          </w:tcPr>
          <w:p w14:paraId="5EC1E915">
            <w:pPr>
              <w:rPr>
                <w:rFonts w:cstheme="minorHAnsi"/>
                <w:sz w:val="18"/>
                <w:szCs w:val="18"/>
              </w:rPr>
            </w:pPr>
            <w:r>
              <w:rPr>
                <w:rFonts w:hint="eastAsia"/>
                <w:sz w:val="18"/>
                <w:szCs w:val="18"/>
              </w:rPr>
              <w:t>回收固定资产余值</w:t>
            </w:r>
          </w:p>
        </w:tc>
        <w:tc>
          <w:tcPr>
            <w:tcW w:w="851" w:type="dxa"/>
          </w:tcPr>
          <w:p w14:paraId="5017BF97">
            <w:pPr>
              <w:rPr>
                <w:rFonts w:cstheme="minorHAnsi"/>
                <w:color w:val="000000" w:themeColor="text1"/>
                <w:sz w:val="18"/>
                <w:szCs w:val="18"/>
                <w14:textFill>
                  <w14:solidFill>
                    <w14:schemeClr w14:val="tx1"/>
                  </w14:solidFill>
                </w14:textFill>
              </w:rPr>
            </w:pPr>
          </w:p>
        </w:tc>
        <w:tc>
          <w:tcPr>
            <w:tcW w:w="851" w:type="dxa"/>
          </w:tcPr>
          <w:p w14:paraId="3A1DF273">
            <w:pPr>
              <w:rPr>
                <w:rFonts w:cstheme="minorHAnsi"/>
                <w:color w:val="000000" w:themeColor="text1"/>
                <w:sz w:val="18"/>
                <w:szCs w:val="18"/>
                <w14:textFill>
                  <w14:solidFill>
                    <w14:schemeClr w14:val="tx1"/>
                  </w14:solidFill>
                </w14:textFill>
              </w:rPr>
            </w:pPr>
          </w:p>
        </w:tc>
        <w:tc>
          <w:tcPr>
            <w:tcW w:w="852" w:type="dxa"/>
          </w:tcPr>
          <w:p w14:paraId="29EB0384">
            <w:pPr>
              <w:rPr>
                <w:rFonts w:cstheme="minorHAnsi"/>
                <w:color w:val="000000" w:themeColor="text1"/>
                <w:sz w:val="18"/>
                <w:szCs w:val="18"/>
                <w14:textFill>
                  <w14:solidFill>
                    <w14:schemeClr w14:val="tx1"/>
                  </w14:solidFill>
                </w14:textFill>
              </w:rPr>
            </w:pPr>
          </w:p>
        </w:tc>
        <w:tc>
          <w:tcPr>
            <w:tcW w:w="851" w:type="dxa"/>
          </w:tcPr>
          <w:p w14:paraId="37F29B59">
            <w:pPr>
              <w:rPr>
                <w:rFonts w:cstheme="minorHAnsi"/>
                <w:color w:val="000000" w:themeColor="text1"/>
                <w:sz w:val="18"/>
                <w:szCs w:val="18"/>
                <w14:textFill>
                  <w14:solidFill>
                    <w14:schemeClr w14:val="tx1"/>
                  </w14:solidFill>
                </w14:textFill>
              </w:rPr>
            </w:pPr>
          </w:p>
        </w:tc>
        <w:tc>
          <w:tcPr>
            <w:tcW w:w="852" w:type="dxa"/>
          </w:tcPr>
          <w:p w14:paraId="713E683E">
            <w:pPr>
              <w:rPr>
                <w:rFonts w:cstheme="minorHAnsi"/>
                <w:color w:val="000000" w:themeColor="text1"/>
                <w:sz w:val="18"/>
                <w:szCs w:val="18"/>
                <w14:textFill>
                  <w14:solidFill>
                    <w14:schemeClr w14:val="tx1"/>
                  </w14:solidFill>
                </w14:textFill>
              </w:rPr>
            </w:pPr>
          </w:p>
        </w:tc>
        <w:tc>
          <w:tcPr>
            <w:tcW w:w="851" w:type="dxa"/>
          </w:tcPr>
          <w:p w14:paraId="0231F43C">
            <w:pPr>
              <w:rPr>
                <w:rFonts w:cstheme="minorHAnsi"/>
                <w:color w:val="000000" w:themeColor="text1"/>
                <w:sz w:val="18"/>
                <w:szCs w:val="18"/>
                <w14:textFill>
                  <w14:solidFill>
                    <w14:schemeClr w14:val="tx1"/>
                  </w14:solidFill>
                </w14:textFill>
              </w:rPr>
            </w:pPr>
          </w:p>
        </w:tc>
        <w:tc>
          <w:tcPr>
            <w:tcW w:w="852" w:type="dxa"/>
          </w:tcPr>
          <w:p w14:paraId="51734FE1">
            <w:pPr>
              <w:rPr>
                <w:rFonts w:cstheme="minorHAnsi"/>
                <w:color w:val="000000" w:themeColor="text1"/>
                <w:sz w:val="18"/>
                <w:szCs w:val="18"/>
                <w14:textFill>
                  <w14:solidFill>
                    <w14:schemeClr w14:val="tx1"/>
                  </w14:solidFill>
                </w14:textFill>
              </w:rPr>
            </w:pPr>
          </w:p>
        </w:tc>
        <w:tc>
          <w:tcPr>
            <w:tcW w:w="851" w:type="dxa"/>
          </w:tcPr>
          <w:p w14:paraId="4FCC396A">
            <w:pPr>
              <w:rPr>
                <w:rFonts w:cstheme="minorHAnsi"/>
                <w:color w:val="000000" w:themeColor="text1"/>
                <w:sz w:val="18"/>
                <w:szCs w:val="18"/>
                <w14:textFill>
                  <w14:solidFill>
                    <w14:schemeClr w14:val="tx1"/>
                  </w14:solidFill>
                </w14:textFill>
              </w:rPr>
            </w:pPr>
          </w:p>
        </w:tc>
        <w:tc>
          <w:tcPr>
            <w:tcW w:w="852" w:type="dxa"/>
          </w:tcPr>
          <w:p w14:paraId="68C37DB5">
            <w:pPr>
              <w:rPr>
                <w:rFonts w:cstheme="minorHAnsi"/>
                <w:color w:val="000000" w:themeColor="text1"/>
                <w:sz w:val="18"/>
                <w:szCs w:val="18"/>
                <w14:textFill>
                  <w14:solidFill>
                    <w14:schemeClr w14:val="tx1"/>
                  </w14:solidFill>
                </w14:textFill>
              </w:rPr>
            </w:pPr>
          </w:p>
        </w:tc>
        <w:tc>
          <w:tcPr>
            <w:tcW w:w="851" w:type="dxa"/>
          </w:tcPr>
          <w:p w14:paraId="2EBA7FAB">
            <w:pPr>
              <w:rPr>
                <w:rFonts w:cstheme="minorHAnsi"/>
                <w:color w:val="000000" w:themeColor="text1"/>
                <w:sz w:val="18"/>
                <w:szCs w:val="18"/>
                <w14:textFill>
                  <w14:solidFill>
                    <w14:schemeClr w14:val="tx1"/>
                  </w14:solidFill>
                </w14:textFill>
              </w:rPr>
            </w:pPr>
          </w:p>
        </w:tc>
        <w:tc>
          <w:tcPr>
            <w:tcW w:w="852" w:type="dxa"/>
          </w:tcPr>
          <w:p w14:paraId="43C080B6">
            <w:pPr>
              <w:rPr>
                <w:rFonts w:cstheme="minorHAnsi"/>
                <w:color w:val="000000" w:themeColor="text1"/>
                <w:sz w:val="18"/>
                <w:szCs w:val="18"/>
                <w14:textFill>
                  <w14:solidFill>
                    <w14:schemeClr w14:val="tx1"/>
                  </w14:solidFill>
                </w14:textFill>
              </w:rPr>
            </w:pPr>
          </w:p>
        </w:tc>
        <w:tc>
          <w:tcPr>
            <w:tcW w:w="851" w:type="dxa"/>
          </w:tcPr>
          <w:p w14:paraId="4B16ABCB">
            <w:pPr>
              <w:rPr>
                <w:rFonts w:cstheme="minorHAnsi"/>
                <w:color w:val="000000" w:themeColor="text1"/>
                <w:sz w:val="18"/>
                <w:szCs w:val="18"/>
                <w14:textFill>
                  <w14:solidFill>
                    <w14:schemeClr w14:val="tx1"/>
                  </w14:solidFill>
                </w14:textFill>
              </w:rPr>
            </w:pPr>
          </w:p>
        </w:tc>
        <w:tc>
          <w:tcPr>
            <w:tcW w:w="852" w:type="dxa"/>
          </w:tcPr>
          <w:p w14:paraId="3FC9773E">
            <w:pPr>
              <w:rPr>
                <w:rFonts w:cstheme="minorHAnsi"/>
                <w:color w:val="000000" w:themeColor="text1"/>
                <w:sz w:val="18"/>
                <w:szCs w:val="18"/>
                <w14:textFill>
                  <w14:solidFill>
                    <w14:schemeClr w14:val="tx1"/>
                  </w14:solidFill>
                </w14:textFill>
              </w:rPr>
            </w:pPr>
          </w:p>
        </w:tc>
        <w:tc>
          <w:tcPr>
            <w:tcW w:w="851" w:type="dxa"/>
          </w:tcPr>
          <w:p w14:paraId="2EF05FF7">
            <w:pPr>
              <w:rPr>
                <w:rFonts w:cstheme="minorHAnsi"/>
                <w:color w:val="000000" w:themeColor="text1"/>
                <w:sz w:val="18"/>
                <w:szCs w:val="18"/>
                <w14:textFill>
                  <w14:solidFill>
                    <w14:schemeClr w14:val="tx1"/>
                  </w14:solidFill>
                </w14:textFill>
              </w:rPr>
            </w:pPr>
          </w:p>
        </w:tc>
        <w:tc>
          <w:tcPr>
            <w:tcW w:w="852" w:type="dxa"/>
          </w:tcPr>
          <w:p w14:paraId="569E436C">
            <w:pPr>
              <w:rPr>
                <w:rFonts w:cstheme="minorHAnsi"/>
                <w:color w:val="000000" w:themeColor="text1"/>
                <w:sz w:val="18"/>
                <w:szCs w:val="18"/>
                <w14:textFill>
                  <w14:solidFill>
                    <w14:schemeClr w14:val="tx1"/>
                  </w14:solidFill>
                </w14:textFill>
              </w:rPr>
            </w:pPr>
          </w:p>
        </w:tc>
      </w:tr>
      <w:tr w14:paraId="3217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8" w:type="dxa"/>
          </w:tcPr>
          <w:p w14:paraId="1B69420B">
            <w:pPr>
              <w:rPr>
                <w:rFonts w:cstheme="minorHAnsi"/>
                <w:sz w:val="18"/>
                <w:szCs w:val="18"/>
              </w:rPr>
            </w:pPr>
            <w:r>
              <w:rPr>
                <w:sz w:val="18"/>
                <w:szCs w:val="18"/>
              </w:rPr>
              <w:t>1.4</w:t>
            </w:r>
          </w:p>
        </w:tc>
        <w:tc>
          <w:tcPr>
            <w:tcW w:w="1534" w:type="dxa"/>
          </w:tcPr>
          <w:p w14:paraId="30174F94">
            <w:pPr>
              <w:rPr>
                <w:rFonts w:cstheme="minorHAnsi"/>
                <w:sz w:val="18"/>
                <w:szCs w:val="18"/>
              </w:rPr>
            </w:pPr>
            <w:r>
              <w:rPr>
                <w:rFonts w:hint="eastAsia"/>
                <w:sz w:val="18"/>
                <w:szCs w:val="18"/>
              </w:rPr>
              <w:t>回收流动资金</w:t>
            </w:r>
          </w:p>
        </w:tc>
        <w:tc>
          <w:tcPr>
            <w:tcW w:w="851" w:type="dxa"/>
          </w:tcPr>
          <w:p w14:paraId="0954A15C">
            <w:pPr>
              <w:rPr>
                <w:rFonts w:cstheme="minorHAnsi"/>
                <w:color w:val="000000" w:themeColor="text1"/>
                <w:sz w:val="18"/>
                <w:szCs w:val="18"/>
                <w14:textFill>
                  <w14:solidFill>
                    <w14:schemeClr w14:val="tx1"/>
                  </w14:solidFill>
                </w14:textFill>
              </w:rPr>
            </w:pPr>
          </w:p>
        </w:tc>
        <w:tc>
          <w:tcPr>
            <w:tcW w:w="851" w:type="dxa"/>
          </w:tcPr>
          <w:p w14:paraId="0EBEE991">
            <w:pPr>
              <w:rPr>
                <w:rFonts w:cstheme="minorHAnsi"/>
                <w:color w:val="000000" w:themeColor="text1"/>
                <w:sz w:val="18"/>
                <w:szCs w:val="18"/>
                <w14:textFill>
                  <w14:solidFill>
                    <w14:schemeClr w14:val="tx1"/>
                  </w14:solidFill>
                </w14:textFill>
              </w:rPr>
            </w:pPr>
          </w:p>
        </w:tc>
        <w:tc>
          <w:tcPr>
            <w:tcW w:w="852" w:type="dxa"/>
          </w:tcPr>
          <w:p w14:paraId="4D131A6B">
            <w:pPr>
              <w:rPr>
                <w:rFonts w:cstheme="minorHAnsi"/>
                <w:color w:val="000000" w:themeColor="text1"/>
                <w:sz w:val="18"/>
                <w:szCs w:val="18"/>
                <w14:textFill>
                  <w14:solidFill>
                    <w14:schemeClr w14:val="tx1"/>
                  </w14:solidFill>
                </w14:textFill>
              </w:rPr>
            </w:pPr>
          </w:p>
        </w:tc>
        <w:tc>
          <w:tcPr>
            <w:tcW w:w="851" w:type="dxa"/>
          </w:tcPr>
          <w:p w14:paraId="70E9644B">
            <w:pPr>
              <w:rPr>
                <w:rFonts w:cstheme="minorHAnsi"/>
                <w:color w:val="000000" w:themeColor="text1"/>
                <w:sz w:val="18"/>
                <w:szCs w:val="18"/>
                <w14:textFill>
                  <w14:solidFill>
                    <w14:schemeClr w14:val="tx1"/>
                  </w14:solidFill>
                </w14:textFill>
              </w:rPr>
            </w:pPr>
          </w:p>
        </w:tc>
        <w:tc>
          <w:tcPr>
            <w:tcW w:w="852" w:type="dxa"/>
          </w:tcPr>
          <w:p w14:paraId="44B980E4">
            <w:pPr>
              <w:rPr>
                <w:rFonts w:cstheme="minorHAnsi"/>
                <w:color w:val="000000" w:themeColor="text1"/>
                <w:sz w:val="18"/>
                <w:szCs w:val="18"/>
                <w14:textFill>
                  <w14:solidFill>
                    <w14:schemeClr w14:val="tx1"/>
                  </w14:solidFill>
                </w14:textFill>
              </w:rPr>
            </w:pPr>
          </w:p>
        </w:tc>
        <w:tc>
          <w:tcPr>
            <w:tcW w:w="851" w:type="dxa"/>
          </w:tcPr>
          <w:p w14:paraId="1B92772F">
            <w:pPr>
              <w:rPr>
                <w:rFonts w:cstheme="minorHAnsi"/>
                <w:color w:val="000000" w:themeColor="text1"/>
                <w:sz w:val="18"/>
                <w:szCs w:val="18"/>
                <w14:textFill>
                  <w14:solidFill>
                    <w14:schemeClr w14:val="tx1"/>
                  </w14:solidFill>
                </w14:textFill>
              </w:rPr>
            </w:pPr>
          </w:p>
        </w:tc>
        <w:tc>
          <w:tcPr>
            <w:tcW w:w="852" w:type="dxa"/>
          </w:tcPr>
          <w:p w14:paraId="5CF2FD12">
            <w:pPr>
              <w:rPr>
                <w:rFonts w:cstheme="minorHAnsi"/>
                <w:color w:val="000000" w:themeColor="text1"/>
                <w:sz w:val="18"/>
                <w:szCs w:val="18"/>
                <w14:textFill>
                  <w14:solidFill>
                    <w14:schemeClr w14:val="tx1"/>
                  </w14:solidFill>
                </w14:textFill>
              </w:rPr>
            </w:pPr>
          </w:p>
        </w:tc>
        <w:tc>
          <w:tcPr>
            <w:tcW w:w="851" w:type="dxa"/>
          </w:tcPr>
          <w:p w14:paraId="70E381D0">
            <w:pPr>
              <w:rPr>
                <w:rFonts w:cstheme="minorHAnsi"/>
                <w:color w:val="000000" w:themeColor="text1"/>
                <w:sz w:val="18"/>
                <w:szCs w:val="18"/>
                <w14:textFill>
                  <w14:solidFill>
                    <w14:schemeClr w14:val="tx1"/>
                  </w14:solidFill>
                </w14:textFill>
              </w:rPr>
            </w:pPr>
          </w:p>
        </w:tc>
        <w:tc>
          <w:tcPr>
            <w:tcW w:w="852" w:type="dxa"/>
          </w:tcPr>
          <w:p w14:paraId="62F80671">
            <w:pPr>
              <w:rPr>
                <w:rFonts w:cstheme="minorHAnsi"/>
                <w:color w:val="000000" w:themeColor="text1"/>
                <w:sz w:val="18"/>
                <w:szCs w:val="18"/>
                <w14:textFill>
                  <w14:solidFill>
                    <w14:schemeClr w14:val="tx1"/>
                  </w14:solidFill>
                </w14:textFill>
              </w:rPr>
            </w:pPr>
          </w:p>
        </w:tc>
        <w:tc>
          <w:tcPr>
            <w:tcW w:w="851" w:type="dxa"/>
          </w:tcPr>
          <w:p w14:paraId="601BFCE2">
            <w:pPr>
              <w:rPr>
                <w:rFonts w:cstheme="minorHAnsi"/>
                <w:color w:val="000000" w:themeColor="text1"/>
                <w:sz w:val="18"/>
                <w:szCs w:val="18"/>
                <w14:textFill>
                  <w14:solidFill>
                    <w14:schemeClr w14:val="tx1"/>
                  </w14:solidFill>
                </w14:textFill>
              </w:rPr>
            </w:pPr>
          </w:p>
        </w:tc>
        <w:tc>
          <w:tcPr>
            <w:tcW w:w="852" w:type="dxa"/>
          </w:tcPr>
          <w:p w14:paraId="2CC15028">
            <w:pPr>
              <w:rPr>
                <w:rFonts w:cstheme="minorHAnsi"/>
                <w:color w:val="000000" w:themeColor="text1"/>
                <w:sz w:val="18"/>
                <w:szCs w:val="18"/>
                <w14:textFill>
                  <w14:solidFill>
                    <w14:schemeClr w14:val="tx1"/>
                  </w14:solidFill>
                </w14:textFill>
              </w:rPr>
            </w:pPr>
          </w:p>
        </w:tc>
        <w:tc>
          <w:tcPr>
            <w:tcW w:w="851" w:type="dxa"/>
          </w:tcPr>
          <w:p w14:paraId="0F2CD125">
            <w:pPr>
              <w:rPr>
                <w:rFonts w:cstheme="minorHAnsi"/>
                <w:color w:val="000000" w:themeColor="text1"/>
                <w:sz w:val="18"/>
                <w:szCs w:val="18"/>
                <w14:textFill>
                  <w14:solidFill>
                    <w14:schemeClr w14:val="tx1"/>
                  </w14:solidFill>
                </w14:textFill>
              </w:rPr>
            </w:pPr>
          </w:p>
        </w:tc>
        <w:tc>
          <w:tcPr>
            <w:tcW w:w="852" w:type="dxa"/>
          </w:tcPr>
          <w:p w14:paraId="45603E46">
            <w:pPr>
              <w:rPr>
                <w:rFonts w:cstheme="minorHAnsi"/>
                <w:color w:val="000000" w:themeColor="text1"/>
                <w:sz w:val="18"/>
                <w:szCs w:val="18"/>
                <w14:textFill>
                  <w14:solidFill>
                    <w14:schemeClr w14:val="tx1"/>
                  </w14:solidFill>
                </w14:textFill>
              </w:rPr>
            </w:pPr>
          </w:p>
        </w:tc>
        <w:tc>
          <w:tcPr>
            <w:tcW w:w="851" w:type="dxa"/>
          </w:tcPr>
          <w:p w14:paraId="1841E85C">
            <w:pPr>
              <w:rPr>
                <w:rFonts w:cstheme="minorHAnsi"/>
                <w:color w:val="000000" w:themeColor="text1"/>
                <w:sz w:val="18"/>
                <w:szCs w:val="18"/>
                <w14:textFill>
                  <w14:solidFill>
                    <w14:schemeClr w14:val="tx1"/>
                  </w14:solidFill>
                </w14:textFill>
              </w:rPr>
            </w:pPr>
          </w:p>
        </w:tc>
        <w:tc>
          <w:tcPr>
            <w:tcW w:w="852" w:type="dxa"/>
          </w:tcPr>
          <w:p w14:paraId="337BDE99">
            <w:pPr>
              <w:rPr>
                <w:rFonts w:cstheme="minorHAnsi"/>
                <w:color w:val="000000" w:themeColor="text1"/>
                <w:sz w:val="18"/>
                <w:szCs w:val="18"/>
                <w14:textFill>
                  <w14:solidFill>
                    <w14:schemeClr w14:val="tx1"/>
                  </w14:solidFill>
                </w14:textFill>
              </w:rPr>
            </w:pPr>
          </w:p>
        </w:tc>
      </w:tr>
      <w:tr w14:paraId="5479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tcPr>
          <w:p w14:paraId="4851D3F5">
            <w:pPr>
              <w:rPr>
                <w:rFonts w:cstheme="minorHAnsi"/>
                <w:sz w:val="18"/>
                <w:szCs w:val="18"/>
              </w:rPr>
            </w:pPr>
            <w:r>
              <w:rPr>
                <w:sz w:val="18"/>
                <w:szCs w:val="18"/>
              </w:rPr>
              <w:t>2</w:t>
            </w:r>
          </w:p>
        </w:tc>
        <w:tc>
          <w:tcPr>
            <w:tcW w:w="1534" w:type="dxa"/>
          </w:tcPr>
          <w:p w14:paraId="063D39A5">
            <w:pPr>
              <w:rPr>
                <w:rFonts w:cstheme="minorHAnsi"/>
                <w:sz w:val="18"/>
                <w:szCs w:val="18"/>
              </w:rPr>
            </w:pPr>
            <w:r>
              <w:rPr>
                <w:rFonts w:hint="eastAsia"/>
                <w:sz w:val="18"/>
                <w:szCs w:val="18"/>
              </w:rPr>
              <w:t>现金流出</w:t>
            </w:r>
          </w:p>
        </w:tc>
        <w:tc>
          <w:tcPr>
            <w:tcW w:w="851" w:type="dxa"/>
          </w:tcPr>
          <w:p w14:paraId="75D92809">
            <w:pPr>
              <w:rPr>
                <w:rFonts w:cstheme="minorHAnsi"/>
                <w:sz w:val="18"/>
                <w:szCs w:val="18"/>
              </w:rPr>
            </w:pPr>
            <w:r>
              <w:rPr>
                <w:sz w:val="18"/>
                <w:szCs w:val="18"/>
              </w:rPr>
              <w:t xml:space="preserve"> 791.10 </w:t>
            </w:r>
          </w:p>
        </w:tc>
        <w:tc>
          <w:tcPr>
            <w:tcW w:w="851" w:type="dxa"/>
          </w:tcPr>
          <w:p w14:paraId="26E1CAD8">
            <w:pPr>
              <w:rPr>
                <w:rFonts w:cstheme="minorHAnsi"/>
                <w:sz w:val="18"/>
                <w:szCs w:val="18"/>
              </w:rPr>
            </w:pPr>
            <w:r>
              <w:rPr>
                <w:sz w:val="18"/>
                <w:szCs w:val="18"/>
              </w:rPr>
              <w:t xml:space="preserve"> 793.65 </w:t>
            </w:r>
          </w:p>
        </w:tc>
        <w:tc>
          <w:tcPr>
            <w:tcW w:w="852" w:type="dxa"/>
          </w:tcPr>
          <w:p w14:paraId="3F2F97C3">
            <w:pPr>
              <w:rPr>
                <w:rFonts w:cstheme="minorHAnsi"/>
                <w:sz w:val="18"/>
                <w:szCs w:val="18"/>
              </w:rPr>
            </w:pPr>
            <w:r>
              <w:rPr>
                <w:sz w:val="18"/>
                <w:szCs w:val="18"/>
              </w:rPr>
              <w:t xml:space="preserve"> 796.30 </w:t>
            </w:r>
          </w:p>
        </w:tc>
        <w:tc>
          <w:tcPr>
            <w:tcW w:w="851" w:type="dxa"/>
          </w:tcPr>
          <w:p w14:paraId="1FDDDEC5">
            <w:pPr>
              <w:rPr>
                <w:rFonts w:cstheme="minorHAnsi"/>
                <w:sz w:val="18"/>
                <w:szCs w:val="18"/>
              </w:rPr>
            </w:pPr>
            <w:r>
              <w:rPr>
                <w:sz w:val="18"/>
                <w:szCs w:val="18"/>
              </w:rPr>
              <w:t xml:space="preserve"> 799.03 </w:t>
            </w:r>
          </w:p>
        </w:tc>
        <w:tc>
          <w:tcPr>
            <w:tcW w:w="852" w:type="dxa"/>
          </w:tcPr>
          <w:p w14:paraId="1DB7F79F">
            <w:pPr>
              <w:rPr>
                <w:rFonts w:cstheme="minorHAnsi"/>
                <w:sz w:val="18"/>
                <w:szCs w:val="18"/>
              </w:rPr>
            </w:pPr>
            <w:r>
              <w:rPr>
                <w:sz w:val="18"/>
                <w:szCs w:val="18"/>
              </w:rPr>
              <w:t xml:space="preserve"> 801.87 </w:t>
            </w:r>
          </w:p>
        </w:tc>
        <w:tc>
          <w:tcPr>
            <w:tcW w:w="851" w:type="dxa"/>
          </w:tcPr>
          <w:p w14:paraId="35A35040">
            <w:pPr>
              <w:rPr>
                <w:rFonts w:cstheme="minorHAnsi"/>
                <w:sz w:val="18"/>
                <w:szCs w:val="18"/>
              </w:rPr>
            </w:pPr>
            <w:r>
              <w:rPr>
                <w:sz w:val="18"/>
                <w:szCs w:val="18"/>
              </w:rPr>
              <w:t xml:space="preserve"> 804.80 </w:t>
            </w:r>
          </w:p>
        </w:tc>
        <w:tc>
          <w:tcPr>
            <w:tcW w:w="852" w:type="dxa"/>
          </w:tcPr>
          <w:p w14:paraId="554A77A6">
            <w:pPr>
              <w:rPr>
                <w:rFonts w:cstheme="minorHAnsi"/>
                <w:sz w:val="18"/>
                <w:szCs w:val="18"/>
              </w:rPr>
            </w:pPr>
            <w:r>
              <w:rPr>
                <w:sz w:val="18"/>
                <w:szCs w:val="18"/>
              </w:rPr>
              <w:t xml:space="preserve"> 807.85 </w:t>
            </w:r>
          </w:p>
        </w:tc>
        <w:tc>
          <w:tcPr>
            <w:tcW w:w="851" w:type="dxa"/>
          </w:tcPr>
          <w:p w14:paraId="24DCF153">
            <w:pPr>
              <w:rPr>
                <w:rFonts w:cstheme="minorHAnsi"/>
                <w:sz w:val="18"/>
                <w:szCs w:val="18"/>
              </w:rPr>
            </w:pPr>
            <w:r>
              <w:rPr>
                <w:sz w:val="18"/>
                <w:szCs w:val="18"/>
              </w:rPr>
              <w:t xml:space="preserve"> 811.00 </w:t>
            </w:r>
          </w:p>
        </w:tc>
        <w:tc>
          <w:tcPr>
            <w:tcW w:w="852" w:type="dxa"/>
          </w:tcPr>
          <w:p w14:paraId="4B22C4B5">
            <w:pPr>
              <w:rPr>
                <w:rFonts w:cstheme="minorHAnsi"/>
                <w:sz w:val="18"/>
                <w:szCs w:val="18"/>
              </w:rPr>
            </w:pPr>
            <w:r>
              <w:rPr>
                <w:sz w:val="18"/>
                <w:szCs w:val="18"/>
              </w:rPr>
              <w:t xml:space="preserve"> 814.26 </w:t>
            </w:r>
          </w:p>
        </w:tc>
        <w:tc>
          <w:tcPr>
            <w:tcW w:w="851" w:type="dxa"/>
          </w:tcPr>
          <w:p w14:paraId="0FE13F81">
            <w:pPr>
              <w:rPr>
                <w:rFonts w:cstheme="minorHAnsi"/>
                <w:sz w:val="18"/>
                <w:szCs w:val="18"/>
              </w:rPr>
            </w:pPr>
            <w:r>
              <w:rPr>
                <w:sz w:val="18"/>
                <w:szCs w:val="18"/>
              </w:rPr>
              <w:t xml:space="preserve"> 817.65 </w:t>
            </w:r>
          </w:p>
        </w:tc>
        <w:tc>
          <w:tcPr>
            <w:tcW w:w="852" w:type="dxa"/>
          </w:tcPr>
          <w:p w14:paraId="4F4DF2FB">
            <w:pPr>
              <w:rPr>
                <w:rFonts w:cstheme="minorHAnsi"/>
                <w:sz w:val="18"/>
                <w:szCs w:val="18"/>
              </w:rPr>
            </w:pPr>
            <w:r>
              <w:rPr>
                <w:sz w:val="18"/>
                <w:szCs w:val="18"/>
              </w:rPr>
              <w:t xml:space="preserve"> 821.15 </w:t>
            </w:r>
          </w:p>
        </w:tc>
        <w:tc>
          <w:tcPr>
            <w:tcW w:w="851" w:type="dxa"/>
          </w:tcPr>
          <w:p w14:paraId="7C6F6D15">
            <w:pPr>
              <w:rPr>
                <w:rFonts w:cstheme="minorHAnsi"/>
                <w:sz w:val="18"/>
                <w:szCs w:val="18"/>
              </w:rPr>
            </w:pPr>
            <w:r>
              <w:rPr>
                <w:sz w:val="18"/>
                <w:szCs w:val="18"/>
              </w:rPr>
              <w:t xml:space="preserve"> 824.78 </w:t>
            </w:r>
          </w:p>
        </w:tc>
        <w:tc>
          <w:tcPr>
            <w:tcW w:w="852" w:type="dxa"/>
          </w:tcPr>
          <w:p w14:paraId="59B8C007">
            <w:pPr>
              <w:rPr>
                <w:rFonts w:cstheme="minorHAnsi"/>
                <w:sz w:val="18"/>
                <w:szCs w:val="18"/>
              </w:rPr>
            </w:pPr>
            <w:r>
              <w:rPr>
                <w:sz w:val="18"/>
                <w:szCs w:val="18"/>
              </w:rPr>
              <w:t xml:space="preserve"> 828.54 </w:t>
            </w:r>
          </w:p>
        </w:tc>
        <w:tc>
          <w:tcPr>
            <w:tcW w:w="851" w:type="dxa"/>
          </w:tcPr>
          <w:p w14:paraId="1FABC10F">
            <w:pPr>
              <w:rPr>
                <w:rFonts w:cstheme="minorHAnsi"/>
                <w:sz w:val="18"/>
                <w:szCs w:val="18"/>
              </w:rPr>
            </w:pPr>
            <w:r>
              <w:rPr>
                <w:sz w:val="18"/>
                <w:szCs w:val="18"/>
              </w:rPr>
              <w:t xml:space="preserve"> 832.44 </w:t>
            </w:r>
          </w:p>
        </w:tc>
        <w:tc>
          <w:tcPr>
            <w:tcW w:w="852" w:type="dxa"/>
          </w:tcPr>
          <w:p w14:paraId="1B1A213C">
            <w:pPr>
              <w:rPr>
                <w:rFonts w:cstheme="minorHAnsi"/>
                <w:sz w:val="18"/>
                <w:szCs w:val="18"/>
              </w:rPr>
            </w:pPr>
            <w:r>
              <w:rPr>
                <w:sz w:val="18"/>
                <w:szCs w:val="18"/>
              </w:rPr>
              <w:t xml:space="preserve"> 836.48 </w:t>
            </w:r>
          </w:p>
        </w:tc>
      </w:tr>
      <w:tr w14:paraId="3CCD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tcPr>
          <w:p w14:paraId="5F6993B3">
            <w:pPr>
              <w:rPr>
                <w:rFonts w:cstheme="minorHAnsi"/>
                <w:sz w:val="18"/>
                <w:szCs w:val="18"/>
              </w:rPr>
            </w:pPr>
            <w:r>
              <w:rPr>
                <w:sz w:val="18"/>
                <w:szCs w:val="18"/>
              </w:rPr>
              <w:t>2.1</w:t>
            </w:r>
          </w:p>
        </w:tc>
        <w:tc>
          <w:tcPr>
            <w:tcW w:w="1534" w:type="dxa"/>
          </w:tcPr>
          <w:p w14:paraId="70541211">
            <w:pPr>
              <w:rPr>
                <w:rFonts w:cstheme="minorHAnsi"/>
                <w:sz w:val="18"/>
                <w:szCs w:val="18"/>
              </w:rPr>
            </w:pPr>
            <w:r>
              <w:rPr>
                <w:rFonts w:hint="eastAsia"/>
                <w:sz w:val="18"/>
                <w:szCs w:val="18"/>
              </w:rPr>
              <w:t>项目资本金</w:t>
            </w:r>
          </w:p>
        </w:tc>
        <w:tc>
          <w:tcPr>
            <w:tcW w:w="851" w:type="dxa"/>
          </w:tcPr>
          <w:p w14:paraId="6446006C">
            <w:pPr>
              <w:rPr>
                <w:rFonts w:cstheme="minorHAnsi"/>
                <w:sz w:val="18"/>
                <w:szCs w:val="18"/>
              </w:rPr>
            </w:pPr>
            <w:r>
              <w:rPr>
                <w:sz w:val="18"/>
                <w:szCs w:val="18"/>
              </w:rPr>
              <w:t xml:space="preserve">  </w:t>
            </w:r>
          </w:p>
        </w:tc>
        <w:tc>
          <w:tcPr>
            <w:tcW w:w="851" w:type="dxa"/>
          </w:tcPr>
          <w:p w14:paraId="6C8B1EF3">
            <w:pPr>
              <w:rPr>
                <w:rFonts w:cstheme="minorHAnsi"/>
                <w:sz w:val="18"/>
                <w:szCs w:val="18"/>
              </w:rPr>
            </w:pPr>
            <w:r>
              <w:rPr>
                <w:sz w:val="18"/>
                <w:szCs w:val="18"/>
              </w:rPr>
              <w:t xml:space="preserve">  </w:t>
            </w:r>
          </w:p>
        </w:tc>
        <w:tc>
          <w:tcPr>
            <w:tcW w:w="852" w:type="dxa"/>
          </w:tcPr>
          <w:p w14:paraId="302F49D0">
            <w:pPr>
              <w:rPr>
                <w:rFonts w:cstheme="minorHAnsi"/>
                <w:sz w:val="18"/>
                <w:szCs w:val="18"/>
              </w:rPr>
            </w:pPr>
            <w:r>
              <w:rPr>
                <w:sz w:val="18"/>
                <w:szCs w:val="18"/>
              </w:rPr>
              <w:t xml:space="preserve">  </w:t>
            </w:r>
          </w:p>
        </w:tc>
        <w:tc>
          <w:tcPr>
            <w:tcW w:w="851" w:type="dxa"/>
          </w:tcPr>
          <w:p w14:paraId="212F7C04">
            <w:pPr>
              <w:rPr>
                <w:rFonts w:cstheme="minorHAnsi"/>
                <w:sz w:val="18"/>
                <w:szCs w:val="18"/>
              </w:rPr>
            </w:pPr>
            <w:r>
              <w:rPr>
                <w:sz w:val="18"/>
                <w:szCs w:val="18"/>
              </w:rPr>
              <w:t xml:space="preserve">  </w:t>
            </w:r>
          </w:p>
        </w:tc>
        <w:tc>
          <w:tcPr>
            <w:tcW w:w="852" w:type="dxa"/>
          </w:tcPr>
          <w:p w14:paraId="35B57BEC">
            <w:pPr>
              <w:rPr>
                <w:rFonts w:cstheme="minorHAnsi"/>
                <w:sz w:val="18"/>
                <w:szCs w:val="18"/>
              </w:rPr>
            </w:pPr>
            <w:r>
              <w:rPr>
                <w:sz w:val="18"/>
                <w:szCs w:val="18"/>
              </w:rPr>
              <w:t xml:space="preserve">  </w:t>
            </w:r>
          </w:p>
        </w:tc>
        <w:tc>
          <w:tcPr>
            <w:tcW w:w="851" w:type="dxa"/>
          </w:tcPr>
          <w:p w14:paraId="0E5FD7BE">
            <w:pPr>
              <w:rPr>
                <w:rFonts w:cstheme="minorHAnsi"/>
                <w:sz w:val="18"/>
                <w:szCs w:val="18"/>
              </w:rPr>
            </w:pPr>
            <w:r>
              <w:rPr>
                <w:sz w:val="18"/>
                <w:szCs w:val="18"/>
              </w:rPr>
              <w:t xml:space="preserve">  </w:t>
            </w:r>
          </w:p>
        </w:tc>
        <w:tc>
          <w:tcPr>
            <w:tcW w:w="852" w:type="dxa"/>
          </w:tcPr>
          <w:p w14:paraId="0DE440AF">
            <w:pPr>
              <w:rPr>
                <w:rFonts w:cstheme="minorHAnsi"/>
                <w:sz w:val="18"/>
                <w:szCs w:val="18"/>
              </w:rPr>
            </w:pPr>
            <w:r>
              <w:rPr>
                <w:sz w:val="18"/>
                <w:szCs w:val="18"/>
              </w:rPr>
              <w:t xml:space="preserve">  </w:t>
            </w:r>
          </w:p>
        </w:tc>
        <w:tc>
          <w:tcPr>
            <w:tcW w:w="851" w:type="dxa"/>
          </w:tcPr>
          <w:p w14:paraId="089236F2">
            <w:pPr>
              <w:rPr>
                <w:rFonts w:cstheme="minorHAnsi"/>
                <w:sz w:val="18"/>
                <w:szCs w:val="18"/>
              </w:rPr>
            </w:pPr>
            <w:r>
              <w:rPr>
                <w:sz w:val="18"/>
                <w:szCs w:val="18"/>
              </w:rPr>
              <w:t xml:space="preserve">  </w:t>
            </w:r>
          </w:p>
        </w:tc>
        <w:tc>
          <w:tcPr>
            <w:tcW w:w="852" w:type="dxa"/>
          </w:tcPr>
          <w:p w14:paraId="6C528C52">
            <w:pPr>
              <w:rPr>
                <w:rFonts w:cstheme="minorHAnsi"/>
                <w:sz w:val="18"/>
                <w:szCs w:val="18"/>
              </w:rPr>
            </w:pPr>
            <w:r>
              <w:rPr>
                <w:sz w:val="18"/>
                <w:szCs w:val="18"/>
              </w:rPr>
              <w:t xml:space="preserve">  </w:t>
            </w:r>
          </w:p>
        </w:tc>
        <w:tc>
          <w:tcPr>
            <w:tcW w:w="851" w:type="dxa"/>
          </w:tcPr>
          <w:p w14:paraId="35DE1EA6">
            <w:pPr>
              <w:rPr>
                <w:rFonts w:cstheme="minorHAnsi"/>
                <w:sz w:val="18"/>
                <w:szCs w:val="18"/>
              </w:rPr>
            </w:pPr>
            <w:r>
              <w:rPr>
                <w:sz w:val="18"/>
                <w:szCs w:val="18"/>
              </w:rPr>
              <w:t xml:space="preserve">  </w:t>
            </w:r>
          </w:p>
        </w:tc>
        <w:tc>
          <w:tcPr>
            <w:tcW w:w="852" w:type="dxa"/>
          </w:tcPr>
          <w:p w14:paraId="254A9FB2">
            <w:pPr>
              <w:rPr>
                <w:rFonts w:cstheme="minorHAnsi"/>
                <w:sz w:val="18"/>
                <w:szCs w:val="18"/>
              </w:rPr>
            </w:pPr>
            <w:r>
              <w:rPr>
                <w:sz w:val="18"/>
                <w:szCs w:val="18"/>
              </w:rPr>
              <w:t xml:space="preserve">  </w:t>
            </w:r>
          </w:p>
        </w:tc>
        <w:tc>
          <w:tcPr>
            <w:tcW w:w="851" w:type="dxa"/>
          </w:tcPr>
          <w:p w14:paraId="3ADD3DE4">
            <w:pPr>
              <w:rPr>
                <w:rFonts w:cstheme="minorHAnsi"/>
                <w:sz w:val="18"/>
                <w:szCs w:val="18"/>
              </w:rPr>
            </w:pPr>
            <w:r>
              <w:rPr>
                <w:sz w:val="18"/>
                <w:szCs w:val="18"/>
              </w:rPr>
              <w:t xml:space="preserve">  </w:t>
            </w:r>
          </w:p>
        </w:tc>
        <w:tc>
          <w:tcPr>
            <w:tcW w:w="852" w:type="dxa"/>
          </w:tcPr>
          <w:p w14:paraId="549C1F94">
            <w:pPr>
              <w:rPr>
                <w:rFonts w:cstheme="minorHAnsi"/>
                <w:sz w:val="18"/>
                <w:szCs w:val="18"/>
              </w:rPr>
            </w:pPr>
            <w:r>
              <w:rPr>
                <w:sz w:val="18"/>
                <w:szCs w:val="18"/>
              </w:rPr>
              <w:t xml:space="preserve">  </w:t>
            </w:r>
          </w:p>
        </w:tc>
        <w:tc>
          <w:tcPr>
            <w:tcW w:w="851" w:type="dxa"/>
          </w:tcPr>
          <w:p w14:paraId="0474631C">
            <w:pPr>
              <w:rPr>
                <w:rFonts w:cstheme="minorHAnsi"/>
                <w:sz w:val="18"/>
                <w:szCs w:val="18"/>
              </w:rPr>
            </w:pPr>
            <w:r>
              <w:rPr>
                <w:sz w:val="18"/>
                <w:szCs w:val="18"/>
              </w:rPr>
              <w:t xml:space="preserve">  </w:t>
            </w:r>
          </w:p>
        </w:tc>
        <w:tc>
          <w:tcPr>
            <w:tcW w:w="852" w:type="dxa"/>
          </w:tcPr>
          <w:p w14:paraId="000AE3B2">
            <w:pPr>
              <w:rPr>
                <w:rFonts w:cstheme="minorHAnsi"/>
                <w:sz w:val="18"/>
                <w:szCs w:val="18"/>
              </w:rPr>
            </w:pPr>
            <w:r>
              <w:rPr>
                <w:sz w:val="18"/>
                <w:szCs w:val="18"/>
              </w:rPr>
              <w:t xml:space="preserve">  </w:t>
            </w:r>
          </w:p>
        </w:tc>
      </w:tr>
      <w:tr w14:paraId="3640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38" w:type="dxa"/>
          </w:tcPr>
          <w:p w14:paraId="3EF73AEF">
            <w:pPr>
              <w:rPr>
                <w:rFonts w:cstheme="minorHAnsi"/>
                <w:sz w:val="18"/>
                <w:szCs w:val="18"/>
              </w:rPr>
            </w:pPr>
            <w:r>
              <w:rPr>
                <w:sz w:val="18"/>
                <w:szCs w:val="18"/>
              </w:rPr>
              <w:t>2.2</w:t>
            </w:r>
          </w:p>
        </w:tc>
        <w:tc>
          <w:tcPr>
            <w:tcW w:w="1534" w:type="dxa"/>
          </w:tcPr>
          <w:p w14:paraId="2D9CBB8A">
            <w:pPr>
              <w:rPr>
                <w:rFonts w:cstheme="minorHAnsi"/>
                <w:sz w:val="18"/>
                <w:szCs w:val="18"/>
              </w:rPr>
            </w:pPr>
            <w:r>
              <w:rPr>
                <w:rFonts w:hint="eastAsia"/>
                <w:sz w:val="18"/>
                <w:szCs w:val="18"/>
              </w:rPr>
              <w:t>借款本金偿还</w:t>
            </w:r>
          </w:p>
        </w:tc>
        <w:tc>
          <w:tcPr>
            <w:tcW w:w="851" w:type="dxa"/>
          </w:tcPr>
          <w:p w14:paraId="70D3795E">
            <w:pPr>
              <w:rPr>
                <w:rFonts w:cstheme="minorHAnsi"/>
                <w:sz w:val="18"/>
                <w:szCs w:val="18"/>
              </w:rPr>
            </w:pPr>
            <w:r>
              <w:rPr>
                <w:sz w:val="18"/>
                <w:szCs w:val="18"/>
              </w:rPr>
              <w:t xml:space="preserve"> 283.27 </w:t>
            </w:r>
          </w:p>
        </w:tc>
        <w:tc>
          <w:tcPr>
            <w:tcW w:w="851" w:type="dxa"/>
          </w:tcPr>
          <w:p w14:paraId="7BE3FBFD">
            <w:pPr>
              <w:rPr>
                <w:rFonts w:cstheme="minorHAnsi"/>
                <w:sz w:val="18"/>
                <w:szCs w:val="18"/>
              </w:rPr>
            </w:pPr>
            <w:r>
              <w:rPr>
                <w:sz w:val="18"/>
                <w:szCs w:val="18"/>
              </w:rPr>
              <w:t xml:space="preserve"> 293.47 </w:t>
            </w:r>
          </w:p>
        </w:tc>
        <w:tc>
          <w:tcPr>
            <w:tcW w:w="852" w:type="dxa"/>
          </w:tcPr>
          <w:p w14:paraId="74470807">
            <w:pPr>
              <w:rPr>
                <w:rFonts w:cstheme="minorHAnsi"/>
                <w:sz w:val="18"/>
                <w:szCs w:val="18"/>
              </w:rPr>
            </w:pPr>
            <w:r>
              <w:rPr>
                <w:sz w:val="18"/>
                <w:szCs w:val="18"/>
              </w:rPr>
              <w:t xml:space="preserve"> 304.04 </w:t>
            </w:r>
          </w:p>
        </w:tc>
        <w:tc>
          <w:tcPr>
            <w:tcW w:w="851" w:type="dxa"/>
          </w:tcPr>
          <w:p w14:paraId="640BDCC4">
            <w:pPr>
              <w:rPr>
                <w:rFonts w:cstheme="minorHAnsi"/>
                <w:sz w:val="18"/>
                <w:szCs w:val="18"/>
              </w:rPr>
            </w:pPr>
            <w:r>
              <w:rPr>
                <w:sz w:val="18"/>
                <w:szCs w:val="18"/>
              </w:rPr>
              <w:t xml:space="preserve"> 314.98 </w:t>
            </w:r>
          </w:p>
        </w:tc>
        <w:tc>
          <w:tcPr>
            <w:tcW w:w="852" w:type="dxa"/>
          </w:tcPr>
          <w:p w14:paraId="36213E85">
            <w:pPr>
              <w:rPr>
                <w:rFonts w:cstheme="minorHAnsi"/>
                <w:sz w:val="18"/>
                <w:szCs w:val="18"/>
              </w:rPr>
            </w:pPr>
            <w:r>
              <w:rPr>
                <w:sz w:val="18"/>
                <w:szCs w:val="18"/>
              </w:rPr>
              <w:t xml:space="preserve"> 326.32 </w:t>
            </w:r>
          </w:p>
        </w:tc>
        <w:tc>
          <w:tcPr>
            <w:tcW w:w="851" w:type="dxa"/>
          </w:tcPr>
          <w:p w14:paraId="34683CB3">
            <w:pPr>
              <w:rPr>
                <w:rFonts w:cstheme="minorHAnsi"/>
                <w:sz w:val="18"/>
                <w:szCs w:val="18"/>
              </w:rPr>
            </w:pPr>
            <w:r>
              <w:rPr>
                <w:sz w:val="18"/>
                <w:szCs w:val="18"/>
              </w:rPr>
              <w:t xml:space="preserve"> 338.07 </w:t>
            </w:r>
          </w:p>
        </w:tc>
        <w:tc>
          <w:tcPr>
            <w:tcW w:w="852" w:type="dxa"/>
          </w:tcPr>
          <w:p w14:paraId="1DED6457">
            <w:pPr>
              <w:rPr>
                <w:rFonts w:cstheme="minorHAnsi"/>
                <w:sz w:val="18"/>
                <w:szCs w:val="18"/>
              </w:rPr>
            </w:pPr>
            <w:r>
              <w:rPr>
                <w:sz w:val="18"/>
                <w:szCs w:val="18"/>
              </w:rPr>
              <w:t xml:space="preserve"> 350.24 </w:t>
            </w:r>
          </w:p>
        </w:tc>
        <w:tc>
          <w:tcPr>
            <w:tcW w:w="851" w:type="dxa"/>
          </w:tcPr>
          <w:p w14:paraId="372F11C2">
            <w:pPr>
              <w:rPr>
                <w:rFonts w:cstheme="minorHAnsi"/>
                <w:sz w:val="18"/>
                <w:szCs w:val="18"/>
              </w:rPr>
            </w:pPr>
            <w:r>
              <w:rPr>
                <w:sz w:val="18"/>
                <w:szCs w:val="18"/>
              </w:rPr>
              <w:t xml:space="preserve"> 362.85 </w:t>
            </w:r>
          </w:p>
        </w:tc>
        <w:tc>
          <w:tcPr>
            <w:tcW w:w="852" w:type="dxa"/>
          </w:tcPr>
          <w:p w14:paraId="23C90324">
            <w:pPr>
              <w:rPr>
                <w:rFonts w:cstheme="minorHAnsi"/>
                <w:sz w:val="18"/>
                <w:szCs w:val="18"/>
              </w:rPr>
            </w:pPr>
            <w:r>
              <w:rPr>
                <w:sz w:val="18"/>
                <w:szCs w:val="18"/>
              </w:rPr>
              <w:t xml:space="preserve"> 375.91 </w:t>
            </w:r>
          </w:p>
        </w:tc>
        <w:tc>
          <w:tcPr>
            <w:tcW w:w="851" w:type="dxa"/>
          </w:tcPr>
          <w:p w14:paraId="718A3060">
            <w:pPr>
              <w:rPr>
                <w:rFonts w:cstheme="minorHAnsi"/>
                <w:sz w:val="18"/>
                <w:szCs w:val="18"/>
              </w:rPr>
            </w:pPr>
            <w:r>
              <w:rPr>
                <w:sz w:val="18"/>
                <w:szCs w:val="18"/>
              </w:rPr>
              <w:t xml:space="preserve"> 389.44 </w:t>
            </w:r>
          </w:p>
        </w:tc>
        <w:tc>
          <w:tcPr>
            <w:tcW w:w="852" w:type="dxa"/>
          </w:tcPr>
          <w:p w14:paraId="5D6ECAD5">
            <w:pPr>
              <w:rPr>
                <w:rFonts w:cstheme="minorHAnsi"/>
                <w:sz w:val="18"/>
                <w:szCs w:val="18"/>
              </w:rPr>
            </w:pPr>
            <w:r>
              <w:rPr>
                <w:sz w:val="18"/>
                <w:szCs w:val="18"/>
              </w:rPr>
              <w:t xml:space="preserve"> 403.46 </w:t>
            </w:r>
          </w:p>
        </w:tc>
        <w:tc>
          <w:tcPr>
            <w:tcW w:w="851" w:type="dxa"/>
          </w:tcPr>
          <w:p w14:paraId="7E68463C">
            <w:pPr>
              <w:rPr>
                <w:rFonts w:cstheme="minorHAnsi"/>
                <w:sz w:val="18"/>
                <w:szCs w:val="18"/>
              </w:rPr>
            </w:pPr>
            <w:r>
              <w:rPr>
                <w:sz w:val="18"/>
                <w:szCs w:val="18"/>
              </w:rPr>
              <w:t xml:space="preserve"> 417.99 </w:t>
            </w:r>
          </w:p>
        </w:tc>
        <w:tc>
          <w:tcPr>
            <w:tcW w:w="852" w:type="dxa"/>
          </w:tcPr>
          <w:p w14:paraId="015B6B7B">
            <w:pPr>
              <w:rPr>
                <w:rFonts w:cstheme="minorHAnsi"/>
                <w:sz w:val="18"/>
                <w:szCs w:val="18"/>
              </w:rPr>
            </w:pPr>
            <w:r>
              <w:rPr>
                <w:sz w:val="18"/>
                <w:szCs w:val="18"/>
              </w:rPr>
              <w:t xml:space="preserve"> 433.04 </w:t>
            </w:r>
          </w:p>
        </w:tc>
        <w:tc>
          <w:tcPr>
            <w:tcW w:w="851" w:type="dxa"/>
          </w:tcPr>
          <w:p w14:paraId="2B36EE94">
            <w:pPr>
              <w:rPr>
                <w:rFonts w:cstheme="minorHAnsi"/>
                <w:sz w:val="18"/>
                <w:szCs w:val="18"/>
              </w:rPr>
            </w:pPr>
            <w:r>
              <w:rPr>
                <w:sz w:val="18"/>
                <w:szCs w:val="18"/>
              </w:rPr>
              <w:t xml:space="preserve"> 448.63 </w:t>
            </w:r>
          </w:p>
        </w:tc>
        <w:tc>
          <w:tcPr>
            <w:tcW w:w="852" w:type="dxa"/>
          </w:tcPr>
          <w:p w14:paraId="756B73A3">
            <w:pPr>
              <w:rPr>
                <w:rFonts w:cstheme="minorHAnsi"/>
                <w:sz w:val="18"/>
                <w:szCs w:val="18"/>
              </w:rPr>
            </w:pPr>
            <w:r>
              <w:rPr>
                <w:sz w:val="18"/>
                <w:szCs w:val="18"/>
              </w:rPr>
              <w:t xml:space="preserve"> 464.78 </w:t>
            </w:r>
          </w:p>
        </w:tc>
      </w:tr>
      <w:tr w14:paraId="2529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8" w:type="dxa"/>
          </w:tcPr>
          <w:p w14:paraId="57BED360">
            <w:pPr>
              <w:rPr>
                <w:rFonts w:cstheme="minorHAnsi"/>
                <w:sz w:val="18"/>
                <w:szCs w:val="18"/>
              </w:rPr>
            </w:pPr>
            <w:r>
              <w:rPr>
                <w:sz w:val="18"/>
                <w:szCs w:val="18"/>
              </w:rPr>
              <w:t>2.3</w:t>
            </w:r>
          </w:p>
        </w:tc>
        <w:tc>
          <w:tcPr>
            <w:tcW w:w="1534" w:type="dxa"/>
          </w:tcPr>
          <w:p w14:paraId="4EBFEAAF">
            <w:pPr>
              <w:rPr>
                <w:rFonts w:cstheme="minorHAnsi"/>
                <w:sz w:val="18"/>
                <w:szCs w:val="18"/>
              </w:rPr>
            </w:pPr>
            <w:r>
              <w:rPr>
                <w:rFonts w:hint="eastAsia"/>
                <w:sz w:val="18"/>
                <w:szCs w:val="18"/>
              </w:rPr>
              <w:t>借款利息支付</w:t>
            </w:r>
          </w:p>
        </w:tc>
        <w:tc>
          <w:tcPr>
            <w:tcW w:w="851" w:type="dxa"/>
          </w:tcPr>
          <w:p w14:paraId="339B0920">
            <w:pPr>
              <w:rPr>
                <w:rFonts w:cstheme="minorHAnsi"/>
                <w:sz w:val="18"/>
                <w:szCs w:val="18"/>
              </w:rPr>
            </w:pPr>
            <w:r>
              <w:rPr>
                <w:sz w:val="18"/>
                <w:szCs w:val="18"/>
              </w:rPr>
              <w:t xml:space="preserve"> 198.23 </w:t>
            </w:r>
          </w:p>
        </w:tc>
        <w:tc>
          <w:tcPr>
            <w:tcW w:w="851" w:type="dxa"/>
          </w:tcPr>
          <w:p w14:paraId="5DB9EA63">
            <w:pPr>
              <w:rPr>
                <w:rFonts w:cstheme="minorHAnsi"/>
                <w:sz w:val="18"/>
                <w:szCs w:val="18"/>
              </w:rPr>
            </w:pPr>
            <w:r>
              <w:rPr>
                <w:sz w:val="18"/>
                <w:szCs w:val="18"/>
              </w:rPr>
              <w:t xml:space="preserve"> 188.04 </w:t>
            </w:r>
          </w:p>
        </w:tc>
        <w:tc>
          <w:tcPr>
            <w:tcW w:w="852" w:type="dxa"/>
          </w:tcPr>
          <w:p w14:paraId="4061C908">
            <w:pPr>
              <w:rPr>
                <w:rFonts w:cstheme="minorHAnsi"/>
                <w:sz w:val="18"/>
                <w:szCs w:val="18"/>
              </w:rPr>
            </w:pPr>
            <w:r>
              <w:rPr>
                <w:sz w:val="18"/>
                <w:szCs w:val="18"/>
              </w:rPr>
              <w:t xml:space="preserve"> 177.47 </w:t>
            </w:r>
          </w:p>
        </w:tc>
        <w:tc>
          <w:tcPr>
            <w:tcW w:w="851" w:type="dxa"/>
          </w:tcPr>
          <w:p w14:paraId="026A156C">
            <w:pPr>
              <w:rPr>
                <w:rFonts w:cstheme="minorHAnsi"/>
                <w:sz w:val="18"/>
                <w:szCs w:val="18"/>
              </w:rPr>
            </w:pPr>
            <w:r>
              <w:rPr>
                <w:sz w:val="18"/>
                <w:szCs w:val="18"/>
              </w:rPr>
              <w:t xml:space="preserve"> 166.53 </w:t>
            </w:r>
          </w:p>
        </w:tc>
        <w:tc>
          <w:tcPr>
            <w:tcW w:w="852" w:type="dxa"/>
          </w:tcPr>
          <w:p w14:paraId="3AC477B9">
            <w:pPr>
              <w:rPr>
                <w:rFonts w:cstheme="minorHAnsi"/>
                <w:sz w:val="18"/>
                <w:szCs w:val="18"/>
              </w:rPr>
            </w:pPr>
            <w:r>
              <w:rPr>
                <w:sz w:val="18"/>
                <w:szCs w:val="18"/>
              </w:rPr>
              <w:t xml:space="preserve"> 155.19 </w:t>
            </w:r>
          </w:p>
        </w:tc>
        <w:tc>
          <w:tcPr>
            <w:tcW w:w="851" w:type="dxa"/>
          </w:tcPr>
          <w:p w14:paraId="1E31C37C">
            <w:pPr>
              <w:rPr>
                <w:rFonts w:cstheme="minorHAnsi"/>
                <w:sz w:val="18"/>
                <w:szCs w:val="18"/>
              </w:rPr>
            </w:pPr>
            <w:r>
              <w:rPr>
                <w:sz w:val="18"/>
                <w:szCs w:val="18"/>
              </w:rPr>
              <w:t xml:space="preserve"> 143.44 </w:t>
            </w:r>
          </w:p>
        </w:tc>
        <w:tc>
          <w:tcPr>
            <w:tcW w:w="852" w:type="dxa"/>
          </w:tcPr>
          <w:p w14:paraId="76253D44">
            <w:pPr>
              <w:rPr>
                <w:rFonts w:cstheme="minorHAnsi"/>
                <w:sz w:val="18"/>
                <w:szCs w:val="18"/>
              </w:rPr>
            </w:pPr>
            <w:r>
              <w:rPr>
                <w:sz w:val="18"/>
                <w:szCs w:val="18"/>
              </w:rPr>
              <w:t xml:space="preserve"> 131.27 </w:t>
            </w:r>
          </w:p>
        </w:tc>
        <w:tc>
          <w:tcPr>
            <w:tcW w:w="851" w:type="dxa"/>
          </w:tcPr>
          <w:p w14:paraId="0DAC5603">
            <w:pPr>
              <w:rPr>
                <w:rFonts w:cstheme="minorHAnsi"/>
                <w:sz w:val="18"/>
                <w:szCs w:val="18"/>
              </w:rPr>
            </w:pPr>
            <w:r>
              <w:rPr>
                <w:sz w:val="18"/>
                <w:szCs w:val="18"/>
              </w:rPr>
              <w:t xml:space="preserve"> 118.66 </w:t>
            </w:r>
          </w:p>
        </w:tc>
        <w:tc>
          <w:tcPr>
            <w:tcW w:w="852" w:type="dxa"/>
          </w:tcPr>
          <w:p w14:paraId="276C71C1">
            <w:pPr>
              <w:rPr>
                <w:rFonts w:cstheme="minorHAnsi"/>
                <w:sz w:val="18"/>
                <w:szCs w:val="18"/>
              </w:rPr>
            </w:pPr>
            <w:r>
              <w:rPr>
                <w:sz w:val="18"/>
                <w:szCs w:val="18"/>
              </w:rPr>
              <w:t xml:space="preserve"> 105.60 </w:t>
            </w:r>
          </w:p>
        </w:tc>
        <w:tc>
          <w:tcPr>
            <w:tcW w:w="851" w:type="dxa"/>
          </w:tcPr>
          <w:p w14:paraId="0654C997">
            <w:pPr>
              <w:rPr>
                <w:rFonts w:cstheme="minorHAnsi"/>
                <w:sz w:val="18"/>
                <w:szCs w:val="18"/>
              </w:rPr>
            </w:pPr>
            <w:r>
              <w:rPr>
                <w:sz w:val="18"/>
                <w:szCs w:val="18"/>
              </w:rPr>
              <w:t xml:space="preserve"> 92.06 </w:t>
            </w:r>
          </w:p>
        </w:tc>
        <w:tc>
          <w:tcPr>
            <w:tcW w:w="852" w:type="dxa"/>
          </w:tcPr>
          <w:p w14:paraId="7DC65C7A">
            <w:pPr>
              <w:rPr>
                <w:rFonts w:cstheme="minorHAnsi"/>
                <w:sz w:val="18"/>
                <w:szCs w:val="18"/>
              </w:rPr>
            </w:pPr>
            <w:r>
              <w:rPr>
                <w:sz w:val="18"/>
                <w:szCs w:val="18"/>
              </w:rPr>
              <w:t xml:space="preserve"> 78.04 </w:t>
            </w:r>
          </w:p>
        </w:tc>
        <w:tc>
          <w:tcPr>
            <w:tcW w:w="851" w:type="dxa"/>
          </w:tcPr>
          <w:p w14:paraId="3DD69E1F">
            <w:pPr>
              <w:rPr>
                <w:rFonts w:cstheme="minorHAnsi"/>
                <w:sz w:val="18"/>
                <w:szCs w:val="18"/>
              </w:rPr>
            </w:pPr>
            <w:r>
              <w:rPr>
                <w:sz w:val="18"/>
                <w:szCs w:val="18"/>
              </w:rPr>
              <w:t xml:space="preserve"> 63.52 </w:t>
            </w:r>
          </w:p>
        </w:tc>
        <w:tc>
          <w:tcPr>
            <w:tcW w:w="852" w:type="dxa"/>
          </w:tcPr>
          <w:p w14:paraId="6D7CD104">
            <w:pPr>
              <w:rPr>
                <w:rFonts w:cstheme="minorHAnsi"/>
                <w:sz w:val="18"/>
                <w:szCs w:val="18"/>
              </w:rPr>
            </w:pPr>
            <w:r>
              <w:rPr>
                <w:sz w:val="18"/>
                <w:szCs w:val="18"/>
              </w:rPr>
              <w:t xml:space="preserve"> 48.47 </w:t>
            </w:r>
          </w:p>
        </w:tc>
        <w:tc>
          <w:tcPr>
            <w:tcW w:w="851" w:type="dxa"/>
          </w:tcPr>
          <w:p w14:paraId="686B8AC6">
            <w:pPr>
              <w:rPr>
                <w:rFonts w:cstheme="minorHAnsi"/>
                <w:sz w:val="18"/>
                <w:szCs w:val="18"/>
              </w:rPr>
            </w:pPr>
            <w:r>
              <w:rPr>
                <w:sz w:val="18"/>
                <w:szCs w:val="18"/>
              </w:rPr>
              <w:t xml:space="preserve"> 32.88 </w:t>
            </w:r>
          </w:p>
        </w:tc>
        <w:tc>
          <w:tcPr>
            <w:tcW w:w="852" w:type="dxa"/>
          </w:tcPr>
          <w:p w14:paraId="00B7C5BF">
            <w:pPr>
              <w:rPr>
                <w:rFonts w:cstheme="minorHAnsi"/>
                <w:sz w:val="18"/>
                <w:szCs w:val="18"/>
              </w:rPr>
            </w:pPr>
            <w:r>
              <w:rPr>
                <w:sz w:val="18"/>
                <w:szCs w:val="18"/>
              </w:rPr>
              <w:t xml:space="preserve"> 16.73 </w:t>
            </w:r>
          </w:p>
        </w:tc>
      </w:tr>
      <w:tr w14:paraId="2EB6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38" w:type="dxa"/>
          </w:tcPr>
          <w:p w14:paraId="4FE42BD1">
            <w:pPr>
              <w:rPr>
                <w:rFonts w:cstheme="minorHAnsi"/>
                <w:sz w:val="18"/>
                <w:szCs w:val="18"/>
              </w:rPr>
            </w:pPr>
            <w:r>
              <w:rPr>
                <w:sz w:val="18"/>
                <w:szCs w:val="18"/>
              </w:rPr>
              <w:t>2.4</w:t>
            </w:r>
          </w:p>
        </w:tc>
        <w:tc>
          <w:tcPr>
            <w:tcW w:w="1534" w:type="dxa"/>
          </w:tcPr>
          <w:p w14:paraId="7F71C70D">
            <w:pPr>
              <w:rPr>
                <w:rFonts w:cstheme="minorHAnsi"/>
                <w:sz w:val="18"/>
                <w:szCs w:val="18"/>
              </w:rPr>
            </w:pPr>
            <w:r>
              <w:rPr>
                <w:rFonts w:hint="eastAsia"/>
                <w:sz w:val="18"/>
                <w:szCs w:val="18"/>
              </w:rPr>
              <w:t>经营成本（含税）</w:t>
            </w:r>
          </w:p>
        </w:tc>
        <w:tc>
          <w:tcPr>
            <w:tcW w:w="851" w:type="dxa"/>
          </w:tcPr>
          <w:p w14:paraId="4AEE493D">
            <w:pPr>
              <w:rPr>
                <w:rFonts w:cstheme="minorHAnsi"/>
                <w:sz w:val="18"/>
                <w:szCs w:val="18"/>
              </w:rPr>
            </w:pPr>
            <w:r>
              <w:rPr>
                <w:sz w:val="18"/>
                <w:szCs w:val="18"/>
              </w:rPr>
              <w:t xml:space="preserve"> 256.25 </w:t>
            </w:r>
          </w:p>
        </w:tc>
        <w:tc>
          <w:tcPr>
            <w:tcW w:w="851" w:type="dxa"/>
          </w:tcPr>
          <w:p w14:paraId="327C8B64">
            <w:pPr>
              <w:rPr>
                <w:rFonts w:cstheme="minorHAnsi"/>
                <w:sz w:val="18"/>
                <w:szCs w:val="18"/>
              </w:rPr>
            </w:pPr>
            <w:r>
              <w:rPr>
                <w:sz w:val="18"/>
                <w:szCs w:val="18"/>
              </w:rPr>
              <w:t xml:space="preserve"> 256.25 </w:t>
            </w:r>
          </w:p>
        </w:tc>
        <w:tc>
          <w:tcPr>
            <w:tcW w:w="852" w:type="dxa"/>
          </w:tcPr>
          <w:p w14:paraId="6EFC5A2F">
            <w:pPr>
              <w:rPr>
                <w:rFonts w:cstheme="minorHAnsi"/>
                <w:sz w:val="18"/>
                <w:szCs w:val="18"/>
              </w:rPr>
            </w:pPr>
            <w:r>
              <w:rPr>
                <w:sz w:val="18"/>
                <w:szCs w:val="18"/>
              </w:rPr>
              <w:t xml:space="preserve"> 256.25 </w:t>
            </w:r>
          </w:p>
        </w:tc>
        <w:tc>
          <w:tcPr>
            <w:tcW w:w="851" w:type="dxa"/>
          </w:tcPr>
          <w:p w14:paraId="621CBBA0">
            <w:pPr>
              <w:rPr>
                <w:rFonts w:cstheme="minorHAnsi"/>
                <w:sz w:val="18"/>
                <w:szCs w:val="18"/>
              </w:rPr>
            </w:pPr>
            <w:r>
              <w:rPr>
                <w:sz w:val="18"/>
                <w:szCs w:val="18"/>
              </w:rPr>
              <w:t xml:space="preserve"> 256.25 </w:t>
            </w:r>
          </w:p>
        </w:tc>
        <w:tc>
          <w:tcPr>
            <w:tcW w:w="852" w:type="dxa"/>
          </w:tcPr>
          <w:p w14:paraId="0356E164">
            <w:pPr>
              <w:rPr>
                <w:rFonts w:cstheme="minorHAnsi"/>
                <w:sz w:val="18"/>
                <w:szCs w:val="18"/>
              </w:rPr>
            </w:pPr>
            <w:r>
              <w:rPr>
                <w:sz w:val="18"/>
                <w:szCs w:val="18"/>
              </w:rPr>
              <w:t xml:space="preserve"> 256.25 </w:t>
            </w:r>
          </w:p>
        </w:tc>
        <w:tc>
          <w:tcPr>
            <w:tcW w:w="851" w:type="dxa"/>
          </w:tcPr>
          <w:p w14:paraId="37115AE6">
            <w:pPr>
              <w:rPr>
                <w:rFonts w:cstheme="minorHAnsi"/>
                <w:sz w:val="18"/>
                <w:szCs w:val="18"/>
              </w:rPr>
            </w:pPr>
            <w:r>
              <w:rPr>
                <w:sz w:val="18"/>
                <w:szCs w:val="18"/>
              </w:rPr>
              <w:t xml:space="preserve"> 256.25 </w:t>
            </w:r>
          </w:p>
        </w:tc>
        <w:tc>
          <w:tcPr>
            <w:tcW w:w="852" w:type="dxa"/>
          </w:tcPr>
          <w:p w14:paraId="2FD8EB6B">
            <w:pPr>
              <w:rPr>
                <w:rFonts w:cstheme="minorHAnsi"/>
                <w:sz w:val="18"/>
                <w:szCs w:val="18"/>
              </w:rPr>
            </w:pPr>
            <w:r>
              <w:rPr>
                <w:sz w:val="18"/>
                <w:szCs w:val="18"/>
              </w:rPr>
              <w:t xml:space="preserve"> 256.25 </w:t>
            </w:r>
          </w:p>
        </w:tc>
        <w:tc>
          <w:tcPr>
            <w:tcW w:w="851" w:type="dxa"/>
          </w:tcPr>
          <w:p w14:paraId="2FCC34C0">
            <w:pPr>
              <w:rPr>
                <w:rFonts w:cstheme="minorHAnsi"/>
                <w:sz w:val="18"/>
                <w:szCs w:val="18"/>
              </w:rPr>
            </w:pPr>
            <w:r>
              <w:rPr>
                <w:sz w:val="18"/>
                <w:szCs w:val="18"/>
              </w:rPr>
              <w:t xml:space="preserve"> 256.25 </w:t>
            </w:r>
          </w:p>
        </w:tc>
        <w:tc>
          <w:tcPr>
            <w:tcW w:w="852" w:type="dxa"/>
          </w:tcPr>
          <w:p w14:paraId="48106B2A">
            <w:pPr>
              <w:rPr>
                <w:rFonts w:cstheme="minorHAnsi"/>
                <w:sz w:val="18"/>
                <w:szCs w:val="18"/>
              </w:rPr>
            </w:pPr>
            <w:r>
              <w:rPr>
                <w:sz w:val="18"/>
                <w:szCs w:val="18"/>
              </w:rPr>
              <w:t xml:space="preserve"> 256.25 </w:t>
            </w:r>
          </w:p>
        </w:tc>
        <w:tc>
          <w:tcPr>
            <w:tcW w:w="851" w:type="dxa"/>
          </w:tcPr>
          <w:p w14:paraId="38EBF3B0">
            <w:pPr>
              <w:rPr>
                <w:rFonts w:cstheme="minorHAnsi"/>
                <w:sz w:val="18"/>
                <w:szCs w:val="18"/>
              </w:rPr>
            </w:pPr>
            <w:r>
              <w:rPr>
                <w:sz w:val="18"/>
                <w:szCs w:val="18"/>
              </w:rPr>
              <w:t xml:space="preserve"> 256.25 </w:t>
            </w:r>
          </w:p>
        </w:tc>
        <w:tc>
          <w:tcPr>
            <w:tcW w:w="852" w:type="dxa"/>
          </w:tcPr>
          <w:p w14:paraId="4EF08113">
            <w:pPr>
              <w:rPr>
                <w:rFonts w:cstheme="minorHAnsi"/>
                <w:sz w:val="18"/>
                <w:szCs w:val="18"/>
              </w:rPr>
            </w:pPr>
            <w:r>
              <w:rPr>
                <w:sz w:val="18"/>
                <w:szCs w:val="18"/>
              </w:rPr>
              <w:t xml:space="preserve"> 256.25 </w:t>
            </w:r>
          </w:p>
        </w:tc>
        <w:tc>
          <w:tcPr>
            <w:tcW w:w="851" w:type="dxa"/>
          </w:tcPr>
          <w:p w14:paraId="7B94A372">
            <w:pPr>
              <w:rPr>
                <w:rFonts w:cstheme="minorHAnsi"/>
                <w:sz w:val="18"/>
                <w:szCs w:val="18"/>
              </w:rPr>
            </w:pPr>
            <w:r>
              <w:rPr>
                <w:sz w:val="18"/>
                <w:szCs w:val="18"/>
              </w:rPr>
              <w:t xml:space="preserve"> 256.25 </w:t>
            </w:r>
          </w:p>
        </w:tc>
        <w:tc>
          <w:tcPr>
            <w:tcW w:w="852" w:type="dxa"/>
          </w:tcPr>
          <w:p w14:paraId="104F3BB0">
            <w:pPr>
              <w:rPr>
                <w:rFonts w:cstheme="minorHAnsi"/>
                <w:sz w:val="18"/>
                <w:szCs w:val="18"/>
              </w:rPr>
            </w:pPr>
            <w:r>
              <w:rPr>
                <w:sz w:val="18"/>
                <w:szCs w:val="18"/>
              </w:rPr>
              <w:t xml:space="preserve"> 256.25 </w:t>
            </w:r>
          </w:p>
        </w:tc>
        <w:tc>
          <w:tcPr>
            <w:tcW w:w="851" w:type="dxa"/>
          </w:tcPr>
          <w:p w14:paraId="4AB1785F">
            <w:pPr>
              <w:rPr>
                <w:rFonts w:cstheme="minorHAnsi"/>
                <w:sz w:val="18"/>
                <w:szCs w:val="18"/>
              </w:rPr>
            </w:pPr>
            <w:r>
              <w:rPr>
                <w:sz w:val="18"/>
                <w:szCs w:val="18"/>
              </w:rPr>
              <w:t xml:space="preserve"> 256.25 </w:t>
            </w:r>
          </w:p>
        </w:tc>
        <w:tc>
          <w:tcPr>
            <w:tcW w:w="852" w:type="dxa"/>
          </w:tcPr>
          <w:p w14:paraId="1563BF83">
            <w:pPr>
              <w:rPr>
                <w:rFonts w:cstheme="minorHAnsi"/>
                <w:sz w:val="18"/>
                <w:szCs w:val="18"/>
              </w:rPr>
            </w:pPr>
            <w:r>
              <w:rPr>
                <w:sz w:val="18"/>
                <w:szCs w:val="18"/>
              </w:rPr>
              <w:t xml:space="preserve"> 256.25 </w:t>
            </w:r>
          </w:p>
        </w:tc>
      </w:tr>
      <w:tr w14:paraId="245E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tcPr>
          <w:p w14:paraId="34F39C80">
            <w:pPr>
              <w:rPr>
                <w:rFonts w:cstheme="minorHAnsi"/>
                <w:sz w:val="18"/>
                <w:szCs w:val="18"/>
              </w:rPr>
            </w:pPr>
            <w:r>
              <w:rPr>
                <w:sz w:val="18"/>
                <w:szCs w:val="18"/>
              </w:rPr>
              <w:t>2.5</w:t>
            </w:r>
          </w:p>
        </w:tc>
        <w:tc>
          <w:tcPr>
            <w:tcW w:w="1534" w:type="dxa"/>
          </w:tcPr>
          <w:p w14:paraId="00C7B1CC">
            <w:pPr>
              <w:rPr>
                <w:rFonts w:cstheme="minorHAnsi"/>
                <w:sz w:val="18"/>
                <w:szCs w:val="18"/>
              </w:rPr>
            </w:pPr>
            <w:r>
              <w:rPr>
                <w:rFonts w:hint="eastAsia"/>
                <w:sz w:val="18"/>
                <w:szCs w:val="18"/>
              </w:rPr>
              <w:t>增值税</w:t>
            </w:r>
          </w:p>
        </w:tc>
        <w:tc>
          <w:tcPr>
            <w:tcW w:w="851" w:type="dxa"/>
          </w:tcPr>
          <w:p w14:paraId="07FC83AE">
            <w:pPr>
              <w:rPr>
                <w:rFonts w:cstheme="minorHAnsi"/>
                <w:sz w:val="18"/>
                <w:szCs w:val="18"/>
              </w:rPr>
            </w:pPr>
            <w:r>
              <w:rPr>
                <w:sz w:val="18"/>
                <w:szCs w:val="18"/>
              </w:rPr>
              <w:t xml:space="preserve"> 28.46 </w:t>
            </w:r>
          </w:p>
        </w:tc>
        <w:tc>
          <w:tcPr>
            <w:tcW w:w="851" w:type="dxa"/>
          </w:tcPr>
          <w:p w14:paraId="7D544FE6">
            <w:pPr>
              <w:rPr>
                <w:rFonts w:cstheme="minorHAnsi"/>
                <w:sz w:val="18"/>
                <w:szCs w:val="18"/>
              </w:rPr>
            </w:pPr>
            <w:r>
              <w:rPr>
                <w:sz w:val="18"/>
                <w:szCs w:val="18"/>
              </w:rPr>
              <w:t xml:space="preserve"> 28.46 </w:t>
            </w:r>
          </w:p>
        </w:tc>
        <w:tc>
          <w:tcPr>
            <w:tcW w:w="852" w:type="dxa"/>
          </w:tcPr>
          <w:p w14:paraId="268A1DE9">
            <w:pPr>
              <w:rPr>
                <w:rFonts w:cstheme="minorHAnsi"/>
                <w:sz w:val="18"/>
                <w:szCs w:val="18"/>
              </w:rPr>
            </w:pPr>
            <w:r>
              <w:rPr>
                <w:sz w:val="18"/>
                <w:szCs w:val="18"/>
              </w:rPr>
              <w:t xml:space="preserve"> 28.46 </w:t>
            </w:r>
          </w:p>
        </w:tc>
        <w:tc>
          <w:tcPr>
            <w:tcW w:w="851" w:type="dxa"/>
          </w:tcPr>
          <w:p w14:paraId="1BAA2C5E">
            <w:pPr>
              <w:rPr>
                <w:rFonts w:cstheme="minorHAnsi"/>
                <w:sz w:val="18"/>
                <w:szCs w:val="18"/>
              </w:rPr>
            </w:pPr>
            <w:r>
              <w:rPr>
                <w:sz w:val="18"/>
                <w:szCs w:val="18"/>
              </w:rPr>
              <w:t xml:space="preserve"> 28.46 </w:t>
            </w:r>
          </w:p>
        </w:tc>
        <w:tc>
          <w:tcPr>
            <w:tcW w:w="852" w:type="dxa"/>
          </w:tcPr>
          <w:p w14:paraId="6A74D8E1">
            <w:pPr>
              <w:rPr>
                <w:rFonts w:cstheme="minorHAnsi"/>
                <w:sz w:val="18"/>
                <w:szCs w:val="18"/>
              </w:rPr>
            </w:pPr>
            <w:r>
              <w:rPr>
                <w:sz w:val="18"/>
                <w:szCs w:val="18"/>
              </w:rPr>
              <w:t xml:space="preserve"> 28.46 </w:t>
            </w:r>
          </w:p>
        </w:tc>
        <w:tc>
          <w:tcPr>
            <w:tcW w:w="851" w:type="dxa"/>
          </w:tcPr>
          <w:p w14:paraId="1FB11B90">
            <w:pPr>
              <w:rPr>
                <w:rFonts w:cstheme="minorHAnsi"/>
                <w:sz w:val="18"/>
                <w:szCs w:val="18"/>
              </w:rPr>
            </w:pPr>
            <w:r>
              <w:rPr>
                <w:sz w:val="18"/>
                <w:szCs w:val="18"/>
              </w:rPr>
              <w:t xml:space="preserve"> 28.46 </w:t>
            </w:r>
          </w:p>
        </w:tc>
        <w:tc>
          <w:tcPr>
            <w:tcW w:w="852" w:type="dxa"/>
          </w:tcPr>
          <w:p w14:paraId="687B2566">
            <w:pPr>
              <w:rPr>
                <w:rFonts w:cstheme="minorHAnsi"/>
                <w:sz w:val="18"/>
                <w:szCs w:val="18"/>
              </w:rPr>
            </w:pPr>
            <w:r>
              <w:rPr>
                <w:sz w:val="18"/>
                <w:szCs w:val="18"/>
              </w:rPr>
              <w:t xml:space="preserve"> 28.46 </w:t>
            </w:r>
          </w:p>
        </w:tc>
        <w:tc>
          <w:tcPr>
            <w:tcW w:w="851" w:type="dxa"/>
          </w:tcPr>
          <w:p w14:paraId="57569BD6">
            <w:pPr>
              <w:rPr>
                <w:rFonts w:cstheme="minorHAnsi"/>
                <w:sz w:val="18"/>
                <w:szCs w:val="18"/>
              </w:rPr>
            </w:pPr>
            <w:r>
              <w:rPr>
                <w:sz w:val="18"/>
                <w:szCs w:val="18"/>
              </w:rPr>
              <w:t xml:space="preserve"> 28.46 </w:t>
            </w:r>
          </w:p>
        </w:tc>
        <w:tc>
          <w:tcPr>
            <w:tcW w:w="852" w:type="dxa"/>
          </w:tcPr>
          <w:p w14:paraId="30A53C28">
            <w:pPr>
              <w:rPr>
                <w:rFonts w:cstheme="minorHAnsi"/>
                <w:sz w:val="18"/>
                <w:szCs w:val="18"/>
              </w:rPr>
            </w:pPr>
            <w:r>
              <w:rPr>
                <w:sz w:val="18"/>
                <w:szCs w:val="18"/>
              </w:rPr>
              <w:t xml:space="preserve"> 28.46 </w:t>
            </w:r>
          </w:p>
        </w:tc>
        <w:tc>
          <w:tcPr>
            <w:tcW w:w="851" w:type="dxa"/>
          </w:tcPr>
          <w:p w14:paraId="4E019516">
            <w:pPr>
              <w:rPr>
                <w:rFonts w:cstheme="minorHAnsi"/>
                <w:sz w:val="18"/>
                <w:szCs w:val="18"/>
              </w:rPr>
            </w:pPr>
            <w:r>
              <w:rPr>
                <w:sz w:val="18"/>
                <w:szCs w:val="18"/>
              </w:rPr>
              <w:t xml:space="preserve"> 28.46 </w:t>
            </w:r>
          </w:p>
        </w:tc>
        <w:tc>
          <w:tcPr>
            <w:tcW w:w="852" w:type="dxa"/>
          </w:tcPr>
          <w:p w14:paraId="2DC13C91">
            <w:pPr>
              <w:rPr>
                <w:rFonts w:cstheme="minorHAnsi"/>
                <w:sz w:val="18"/>
                <w:szCs w:val="18"/>
              </w:rPr>
            </w:pPr>
            <w:r>
              <w:rPr>
                <w:sz w:val="18"/>
                <w:szCs w:val="18"/>
              </w:rPr>
              <w:t xml:space="preserve"> 28.46 </w:t>
            </w:r>
          </w:p>
        </w:tc>
        <w:tc>
          <w:tcPr>
            <w:tcW w:w="851" w:type="dxa"/>
          </w:tcPr>
          <w:p w14:paraId="693D5CC4">
            <w:pPr>
              <w:rPr>
                <w:rFonts w:cstheme="minorHAnsi"/>
                <w:sz w:val="18"/>
                <w:szCs w:val="18"/>
              </w:rPr>
            </w:pPr>
            <w:r>
              <w:rPr>
                <w:sz w:val="18"/>
                <w:szCs w:val="18"/>
              </w:rPr>
              <w:t xml:space="preserve"> 28.46 </w:t>
            </w:r>
          </w:p>
        </w:tc>
        <w:tc>
          <w:tcPr>
            <w:tcW w:w="852" w:type="dxa"/>
          </w:tcPr>
          <w:p w14:paraId="721CC017">
            <w:pPr>
              <w:rPr>
                <w:rFonts w:cstheme="minorHAnsi"/>
                <w:sz w:val="18"/>
                <w:szCs w:val="18"/>
              </w:rPr>
            </w:pPr>
            <w:r>
              <w:rPr>
                <w:sz w:val="18"/>
                <w:szCs w:val="18"/>
              </w:rPr>
              <w:t xml:space="preserve"> 28.46 </w:t>
            </w:r>
          </w:p>
        </w:tc>
        <w:tc>
          <w:tcPr>
            <w:tcW w:w="851" w:type="dxa"/>
          </w:tcPr>
          <w:p w14:paraId="540219FB">
            <w:pPr>
              <w:rPr>
                <w:rFonts w:cstheme="minorHAnsi"/>
                <w:sz w:val="18"/>
                <w:szCs w:val="18"/>
              </w:rPr>
            </w:pPr>
            <w:r>
              <w:rPr>
                <w:sz w:val="18"/>
                <w:szCs w:val="18"/>
              </w:rPr>
              <w:t xml:space="preserve"> 28.46 </w:t>
            </w:r>
          </w:p>
        </w:tc>
        <w:tc>
          <w:tcPr>
            <w:tcW w:w="852" w:type="dxa"/>
          </w:tcPr>
          <w:p w14:paraId="6FAB941D">
            <w:pPr>
              <w:rPr>
                <w:rFonts w:cstheme="minorHAnsi"/>
                <w:sz w:val="18"/>
                <w:szCs w:val="18"/>
              </w:rPr>
            </w:pPr>
            <w:r>
              <w:rPr>
                <w:sz w:val="18"/>
                <w:szCs w:val="18"/>
              </w:rPr>
              <w:t xml:space="preserve"> 28.46 </w:t>
            </w:r>
          </w:p>
        </w:tc>
      </w:tr>
      <w:tr w14:paraId="661E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tcPr>
          <w:p w14:paraId="461497ED">
            <w:pPr>
              <w:rPr>
                <w:rFonts w:cstheme="minorHAnsi"/>
                <w:sz w:val="18"/>
                <w:szCs w:val="18"/>
              </w:rPr>
            </w:pPr>
            <w:r>
              <w:rPr>
                <w:sz w:val="18"/>
                <w:szCs w:val="18"/>
              </w:rPr>
              <w:t>2.6</w:t>
            </w:r>
          </w:p>
        </w:tc>
        <w:tc>
          <w:tcPr>
            <w:tcW w:w="1534" w:type="dxa"/>
          </w:tcPr>
          <w:p w14:paraId="1F153D5C">
            <w:pPr>
              <w:rPr>
                <w:rFonts w:cstheme="minorHAnsi"/>
                <w:sz w:val="18"/>
                <w:szCs w:val="18"/>
              </w:rPr>
            </w:pPr>
            <w:r>
              <w:rPr>
                <w:rFonts w:hint="eastAsia"/>
                <w:sz w:val="18"/>
                <w:szCs w:val="18"/>
              </w:rPr>
              <w:t>税金及附加</w:t>
            </w:r>
          </w:p>
        </w:tc>
        <w:tc>
          <w:tcPr>
            <w:tcW w:w="851" w:type="dxa"/>
          </w:tcPr>
          <w:p w14:paraId="0CDFB93C">
            <w:pPr>
              <w:rPr>
                <w:rFonts w:cstheme="minorHAnsi"/>
                <w:sz w:val="18"/>
                <w:szCs w:val="18"/>
              </w:rPr>
            </w:pPr>
            <w:r>
              <w:rPr>
                <w:sz w:val="18"/>
                <w:szCs w:val="18"/>
              </w:rPr>
              <w:t xml:space="preserve"> 3.41 </w:t>
            </w:r>
          </w:p>
        </w:tc>
        <w:tc>
          <w:tcPr>
            <w:tcW w:w="851" w:type="dxa"/>
          </w:tcPr>
          <w:p w14:paraId="7DD1D8DB">
            <w:pPr>
              <w:rPr>
                <w:rFonts w:cstheme="minorHAnsi"/>
                <w:sz w:val="18"/>
                <w:szCs w:val="18"/>
              </w:rPr>
            </w:pPr>
            <w:r>
              <w:rPr>
                <w:sz w:val="18"/>
                <w:szCs w:val="18"/>
              </w:rPr>
              <w:t xml:space="preserve"> 3.41 </w:t>
            </w:r>
          </w:p>
        </w:tc>
        <w:tc>
          <w:tcPr>
            <w:tcW w:w="852" w:type="dxa"/>
          </w:tcPr>
          <w:p w14:paraId="7679543F">
            <w:pPr>
              <w:rPr>
                <w:rFonts w:cstheme="minorHAnsi"/>
                <w:sz w:val="18"/>
                <w:szCs w:val="18"/>
              </w:rPr>
            </w:pPr>
            <w:r>
              <w:rPr>
                <w:sz w:val="18"/>
                <w:szCs w:val="18"/>
              </w:rPr>
              <w:t xml:space="preserve"> 3.41 </w:t>
            </w:r>
          </w:p>
        </w:tc>
        <w:tc>
          <w:tcPr>
            <w:tcW w:w="851" w:type="dxa"/>
          </w:tcPr>
          <w:p w14:paraId="27A1FD7C">
            <w:pPr>
              <w:rPr>
                <w:rFonts w:cstheme="minorHAnsi"/>
                <w:sz w:val="18"/>
                <w:szCs w:val="18"/>
              </w:rPr>
            </w:pPr>
            <w:r>
              <w:rPr>
                <w:sz w:val="18"/>
                <w:szCs w:val="18"/>
              </w:rPr>
              <w:t xml:space="preserve"> 3.41 </w:t>
            </w:r>
          </w:p>
        </w:tc>
        <w:tc>
          <w:tcPr>
            <w:tcW w:w="852" w:type="dxa"/>
          </w:tcPr>
          <w:p w14:paraId="0C86369F">
            <w:pPr>
              <w:rPr>
                <w:rFonts w:cstheme="minorHAnsi"/>
                <w:sz w:val="18"/>
                <w:szCs w:val="18"/>
              </w:rPr>
            </w:pPr>
            <w:r>
              <w:rPr>
                <w:sz w:val="18"/>
                <w:szCs w:val="18"/>
              </w:rPr>
              <w:t xml:space="preserve"> 3.41 </w:t>
            </w:r>
          </w:p>
        </w:tc>
        <w:tc>
          <w:tcPr>
            <w:tcW w:w="851" w:type="dxa"/>
          </w:tcPr>
          <w:p w14:paraId="13EA2A8F">
            <w:pPr>
              <w:rPr>
                <w:rFonts w:cstheme="minorHAnsi"/>
                <w:sz w:val="18"/>
                <w:szCs w:val="18"/>
              </w:rPr>
            </w:pPr>
            <w:r>
              <w:rPr>
                <w:sz w:val="18"/>
                <w:szCs w:val="18"/>
              </w:rPr>
              <w:t xml:space="preserve"> 3.41 </w:t>
            </w:r>
          </w:p>
        </w:tc>
        <w:tc>
          <w:tcPr>
            <w:tcW w:w="852" w:type="dxa"/>
          </w:tcPr>
          <w:p w14:paraId="196F7DA7">
            <w:pPr>
              <w:rPr>
                <w:rFonts w:cstheme="minorHAnsi"/>
                <w:sz w:val="18"/>
                <w:szCs w:val="18"/>
              </w:rPr>
            </w:pPr>
            <w:r>
              <w:rPr>
                <w:sz w:val="18"/>
                <w:szCs w:val="18"/>
              </w:rPr>
              <w:t xml:space="preserve"> 3.41 </w:t>
            </w:r>
          </w:p>
        </w:tc>
        <w:tc>
          <w:tcPr>
            <w:tcW w:w="851" w:type="dxa"/>
          </w:tcPr>
          <w:p w14:paraId="65343101">
            <w:pPr>
              <w:rPr>
                <w:rFonts w:cstheme="minorHAnsi"/>
                <w:sz w:val="18"/>
                <w:szCs w:val="18"/>
              </w:rPr>
            </w:pPr>
            <w:r>
              <w:rPr>
                <w:sz w:val="18"/>
                <w:szCs w:val="18"/>
              </w:rPr>
              <w:t xml:space="preserve"> 3.41 </w:t>
            </w:r>
          </w:p>
        </w:tc>
        <w:tc>
          <w:tcPr>
            <w:tcW w:w="852" w:type="dxa"/>
          </w:tcPr>
          <w:p w14:paraId="1E48DC31">
            <w:pPr>
              <w:rPr>
                <w:rFonts w:cstheme="minorHAnsi"/>
                <w:sz w:val="18"/>
                <w:szCs w:val="18"/>
              </w:rPr>
            </w:pPr>
            <w:r>
              <w:rPr>
                <w:sz w:val="18"/>
                <w:szCs w:val="18"/>
              </w:rPr>
              <w:t xml:space="preserve"> 3.41 </w:t>
            </w:r>
          </w:p>
        </w:tc>
        <w:tc>
          <w:tcPr>
            <w:tcW w:w="851" w:type="dxa"/>
          </w:tcPr>
          <w:p w14:paraId="6C33FBB2">
            <w:pPr>
              <w:rPr>
                <w:rFonts w:cstheme="minorHAnsi"/>
                <w:sz w:val="18"/>
                <w:szCs w:val="18"/>
              </w:rPr>
            </w:pPr>
            <w:r>
              <w:rPr>
                <w:sz w:val="18"/>
                <w:szCs w:val="18"/>
              </w:rPr>
              <w:t xml:space="preserve"> 3.41 </w:t>
            </w:r>
          </w:p>
        </w:tc>
        <w:tc>
          <w:tcPr>
            <w:tcW w:w="852" w:type="dxa"/>
          </w:tcPr>
          <w:p w14:paraId="214BC8D6">
            <w:pPr>
              <w:rPr>
                <w:rFonts w:cstheme="minorHAnsi"/>
                <w:sz w:val="18"/>
                <w:szCs w:val="18"/>
              </w:rPr>
            </w:pPr>
            <w:r>
              <w:rPr>
                <w:sz w:val="18"/>
                <w:szCs w:val="18"/>
              </w:rPr>
              <w:t xml:space="preserve"> 3.41 </w:t>
            </w:r>
          </w:p>
        </w:tc>
        <w:tc>
          <w:tcPr>
            <w:tcW w:w="851" w:type="dxa"/>
          </w:tcPr>
          <w:p w14:paraId="7364863E">
            <w:pPr>
              <w:rPr>
                <w:rFonts w:cstheme="minorHAnsi"/>
                <w:sz w:val="18"/>
                <w:szCs w:val="18"/>
              </w:rPr>
            </w:pPr>
            <w:r>
              <w:rPr>
                <w:sz w:val="18"/>
                <w:szCs w:val="18"/>
              </w:rPr>
              <w:t xml:space="preserve"> 3.41 </w:t>
            </w:r>
          </w:p>
        </w:tc>
        <w:tc>
          <w:tcPr>
            <w:tcW w:w="852" w:type="dxa"/>
          </w:tcPr>
          <w:p w14:paraId="727EE3D1">
            <w:pPr>
              <w:rPr>
                <w:rFonts w:cstheme="minorHAnsi"/>
                <w:sz w:val="18"/>
                <w:szCs w:val="18"/>
              </w:rPr>
            </w:pPr>
            <w:r>
              <w:rPr>
                <w:sz w:val="18"/>
                <w:szCs w:val="18"/>
              </w:rPr>
              <w:t xml:space="preserve"> 3.41 </w:t>
            </w:r>
          </w:p>
        </w:tc>
        <w:tc>
          <w:tcPr>
            <w:tcW w:w="851" w:type="dxa"/>
          </w:tcPr>
          <w:p w14:paraId="08F6CD54">
            <w:pPr>
              <w:rPr>
                <w:rFonts w:cstheme="minorHAnsi"/>
                <w:sz w:val="18"/>
                <w:szCs w:val="18"/>
              </w:rPr>
            </w:pPr>
            <w:r>
              <w:rPr>
                <w:sz w:val="18"/>
                <w:szCs w:val="18"/>
              </w:rPr>
              <w:t xml:space="preserve"> 3.41 </w:t>
            </w:r>
          </w:p>
        </w:tc>
        <w:tc>
          <w:tcPr>
            <w:tcW w:w="852" w:type="dxa"/>
          </w:tcPr>
          <w:p w14:paraId="7F2FC17D">
            <w:pPr>
              <w:rPr>
                <w:rFonts w:cstheme="minorHAnsi"/>
                <w:sz w:val="18"/>
                <w:szCs w:val="18"/>
              </w:rPr>
            </w:pPr>
            <w:r>
              <w:rPr>
                <w:sz w:val="18"/>
                <w:szCs w:val="18"/>
              </w:rPr>
              <w:t xml:space="preserve"> 3.41 </w:t>
            </w:r>
          </w:p>
        </w:tc>
      </w:tr>
      <w:tr w14:paraId="745A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tcPr>
          <w:p w14:paraId="494BE6A4">
            <w:pPr>
              <w:rPr>
                <w:rFonts w:cstheme="minorHAnsi"/>
                <w:sz w:val="18"/>
                <w:szCs w:val="18"/>
              </w:rPr>
            </w:pPr>
            <w:r>
              <w:rPr>
                <w:sz w:val="18"/>
                <w:szCs w:val="18"/>
              </w:rPr>
              <w:t>2.7</w:t>
            </w:r>
          </w:p>
        </w:tc>
        <w:tc>
          <w:tcPr>
            <w:tcW w:w="1534" w:type="dxa"/>
          </w:tcPr>
          <w:p w14:paraId="7FDBF63E">
            <w:pPr>
              <w:rPr>
                <w:rFonts w:cstheme="minorHAnsi"/>
                <w:sz w:val="18"/>
                <w:szCs w:val="18"/>
              </w:rPr>
            </w:pPr>
            <w:r>
              <w:rPr>
                <w:rFonts w:hint="eastAsia"/>
                <w:sz w:val="18"/>
                <w:szCs w:val="18"/>
              </w:rPr>
              <w:t>所得税</w:t>
            </w:r>
          </w:p>
        </w:tc>
        <w:tc>
          <w:tcPr>
            <w:tcW w:w="851" w:type="dxa"/>
          </w:tcPr>
          <w:p w14:paraId="3482B278">
            <w:pPr>
              <w:rPr>
                <w:rFonts w:cstheme="minorHAnsi"/>
                <w:sz w:val="18"/>
                <w:szCs w:val="18"/>
              </w:rPr>
            </w:pPr>
            <w:r>
              <w:rPr>
                <w:sz w:val="18"/>
                <w:szCs w:val="18"/>
              </w:rPr>
              <w:t xml:space="preserve"> 21.47 </w:t>
            </w:r>
          </w:p>
        </w:tc>
        <w:tc>
          <w:tcPr>
            <w:tcW w:w="851" w:type="dxa"/>
          </w:tcPr>
          <w:p w14:paraId="15056882">
            <w:pPr>
              <w:rPr>
                <w:rFonts w:cstheme="minorHAnsi"/>
                <w:sz w:val="18"/>
                <w:szCs w:val="18"/>
              </w:rPr>
            </w:pPr>
            <w:r>
              <w:rPr>
                <w:sz w:val="18"/>
                <w:szCs w:val="18"/>
              </w:rPr>
              <w:t xml:space="preserve"> 24.02 </w:t>
            </w:r>
          </w:p>
        </w:tc>
        <w:tc>
          <w:tcPr>
            <w:tcW w:w="852" w:type="dxa"/>
          </w:tcPr>
          <w:p w14:paraId="0B86FE93">
            <w:pPr>
              <w:rPr>
                <w:rFonts w:cstheme="minorHAnsi"/>
                <w:sz w:val="18"/>
                <w:szCs w:val="18"/>
              </w:rPr>
            </w:pPr>
            <w:r>
              <w:rPr>
                <w:sz w:val="18"/>
                <w:szCs w:val="18"/>
              </w:rPr>
              <w:t xml:space="preserve"> 26.66 </w:t>
            </w:r>
          </w:p>
        </w:tc>
        <w:tc>
          <w:tcPr>
            <w:tcW w:w="851" w:type="dxa"/>
          </w:tcPr>
          <w:p w14:paraId="54E0FB7B">
            <w:pPr>
              <w:rPr>
                <w:rFonts w:cstheme="minorHAnsi"/>
                <w:sz w:val="18"/>
                <w:szCs w:val="18"/>
              </w:rPr>
            </w:pPr>
            <w:r>
              <w:rPr>
                <w:sz w:val="18"/>
                <w:szCs w:val="18"/>
              </w:rPr>
              <w:t xml:space="preserve"> 29.40 </w:t>
            </w:r>
          </w:p>
        </w:tc>
        <w:tc>
          <w:tcPr>
            <w:tcW w:w="852" w:type="dxa"/>
          </w:tcPr>
          <w:p w14:paraId="561C92B8">
            <w:pPr>
              <w:rPr>
                <w:rFonts w:cstheme="minorHAnsi"/>
                <w:sz w:val="18"/>
                <w:szCs w:val="18"/>
              </w:rPr>
            </w:pPr>
            <w:r>
              <w:rPr>
                <w:sz w:val="18"/>
                <w:szCs w:val="18"/>
              </w:rPr>
              <w:t xml:space="preserve"> 32.24 </w:t>
            </w:r>
          </w:p>
        </w:tc>
        <w:tc>
          <w:tcPr>
            <w:tcW w:w="851" w:type="dxa"/>
          </w:tcPr>
          <w:p w14:paraId="21359269">
            <w:pPr>
              <w:rPr>
                <w:rFonts w:cstheme="minorHAnsi"/>
                <w:sz w:val="18"/>
                <w:szCs w:val="18"/>
              </w:rPr>
            </w:pPr>
            <w:r>
              <w:rPr>
                <w:sz w:val="18"/>
                <w:szCs w:val="18"/>
              </w:rPr>
              <w:t xml:space="preserve"> 35.17 </w:t>
            </w:r>
          </w:p>
        </w:tc>
        <w:tc>
          <w:tcPr>
            <w:tcW w:w="852" w:type="dxa"/>
          </w:tcPr>
          <w:p w14:paraId="1F3E7966">
            <w:pPr>
              <w:rPr>
                <w:rFonts w:cstheme="minorHAnsi"/>
                <w:sz w:val="18"/>
                <w:szCs w:val="18"/>
              </w:rPr>
            </w:pPr>
            <w:r>
              <w:rPr>
                <w:sz w:val="18"/>
                <w:szCs w:val="18"/>
              </w:rPr>
              <w:t xml:space="preserve"> 38.22 </w:t>
            </w:r>
          </w:p>
        </w:tc>
        <w:tc>
          <w:tcPr>
            <w:tcW w:w="851" w:type="dxa"/>
          </w:tcPr>
          <w:p w14:paraId="3AC3FAD2">
            <w:pPr>
              <w:rPr>
                <w:rFonts w:cstheme="minorHAnsi"/>
                <w:sz w:val="18"/>
                <w:szCs w:val="18"/>
              </w:rPr>
            </w:pPr>
            <w:r>
              <w:rPr>
                <w:sz w:val="18"/>
                <w:szCs w:val="18"/>
              </w:rPr>
              <w:t xml:space="preserve"> 41.37 </w:t>
            </w:r>
          </w:p>
        </w:tc>
        <w:tc>
          <w:tcPr>
            <w:tcW w:w="852" w:type="dxa"/>
          </w:tcPr>
          <w:p w14:paraId="0B7A300C">
            <w:pPr>
              <w:rPr>
                <w:rFonts w:cstheme="minorHAnsi"/>
                <w:sz w:val="18"/>
                <w:szCs w:val="18"/>
              </w:rPr>
            </w:pPr>
            <w:r>
              <w:rPr>
                <w:sz w:val="18"/>
                <w:szCs w:val="18"/>
              </w:rPr>
              <w:t xml:space="preserve"> 44.63 </w:t>
            </w:r>
          </w:p>
        </w:tc>
        <w:tc>
          <w:tcPr>
            <w:tcW w:w="851" w:type="dxa"/>
          </w:tcPr>
          <w:p w14:paraId="6991E318">
            <w:pPr>
              <w:rPr>
                <w:rFonts w:cstheme="minorHAnsi"/>
                <w:sz w:val="18"/>
                <w:szCs w:val="18"/>
              </w:rPr>
            </w:pPr>
            <w:r>
              <w:rPr>
                <w:sz w:val="18"/>
                <w:szCs w:val="18"/>
              </w:rPr>
              <w:t xml:space="preserve"> 48.02 </w:t>
            </w:r>
          </w:p>
        </w:tc>
        <w:tc>
          <w:tcPr>
            <w:tcW w:w="852" w:type="dxa"/>
          </w:tcPr>
          <w:p w14:paraId="1CC20C67">
            <w:pPr>
              <w:rPr>
                <w:rFonts w:cstheme="minorHAnsi"/>
                <w:sz w:val="18"/>
                <w:szCs w:val="18"/>
              </w:rPr>
            </w:pPr>
            <w:r>
              <w:rPr>
                <w:sz w:val="18"/>
                <w:szCs w:val="18"/>
              </w:rPr>
              <w:t xml:space="preserve"> 51.52 </w:t>
            </w:r>
          </w:p>
        </w:tc>
        <w:tc>
          <w:tcPr>
            <w:tcW w:w="851" w:type="dxa"/>
          </w:tcPr>
          <w:p w14:paraId="5B62887C">
            <w:pPr>
              <w:rPr>
                <w:rFonts w:cstheme="minorHAnsi"/>
                <w:sz w:val="18"/>
                <w:szCs w:val="18"/>
              </w:rPr>
            </w:pPr>
            <w:r>
              <w:rPr>
                <w:sz w:val="18"/>
                <w:szCs w:val="18"/>
              </w:rPr>
              <w:t xml:space="preserve"> 55.15 </w:t>
            </w:r>
          </w:p>
        </w:tc>
        <w:tc>
          <w:tcPr>
            <w:tcW w:w="852" w:type="dxa"/>
          </w:tcPr>
          <w:p w14:paraId="6E1AD84F">
            <w:pPr>
              <w:rPr>
                <w:rFonts w:cstheme="minorHAnsi"/>
                <w:sz w:val="18"/>
                <w:szCs w:val="18"/>
              </w:rPr>
            </w:pPr>
            <w:r>
              <w:rPr>
                <w:sz w:val="18"/>
                <w:szCs w:val="18"/>
              </w:rPr>
              <w:t xml:space="preserve"> 58.91 </w:t>
            </w:r>
          </w:p>
        </w:tc>
        <w:tc>
          <w:tcPr>
            <w:tcW w:w="851" w:type="dxa"/>
          </w:tcPr>
          <w:p w14:paraId="16E931AF">
            <w:pPr>
              <w:rPr>
                <w:rFonts w:cstheme="minorHAnsi"/>
                <w:sz w:val="18"/>
                <w:szCs w:val="18"/>
              </w:rPr>
            </w:pPr>
            <w:r>
              <w:rPr>
                <w:sz w:val="18"/>
                <w:szCs w:val="18"/>
              </w:rPr>
              <w:t xml:space="preserve"> 62.81 </w:t>
            </w:r>
          </w:p>
        </w:tc>
        <w:tc>
          <w:tcPr>
            <w:tcW w:w="852" w:type="dxa"/>
          </w:tcPr>
          <w:p w14:paraId="0B23B81B">
            <w:pPr>
              <w:rPr>
                <w:rFonts w:cstheme="minorHAnsi"/>
                <w:sz w:val="18"/>
                <w:szCs w:val="18"/>
              </w:rPr>
            </w:pPr>
            <w:r>
              <w:rPr>
                <w:sz w:val="18"/>
                <w:szCs w:val="18"/>
              </w:rPr>
              <w:t xml:space="preserve"> 66.85 </w:t>
            </w:r>
          </w:p>
        </w:tc>
      </w:tr>
      <w:tr w14:paraId="1FBF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38" w:type="dxa"/>
          </w:tcPr>
          <w:p w14:paraId="52C978EC">
            <w:pPr>
              <w:rPr>
                <w:rFonts w:cstheme="minorHAnsi"/>
                <w:sz w:val="18"/>
                <w:szCs w:val="18"/>
              </w:rPr>
            </w:pPr>
            <w:r>
              <w:rPr>
                <w:sz w:val="18"/>
                <w:szCs w:val="18"/>
              </w:rPr>
              <w:t>3</w:t>
            </w:r>
          </w:p>
        </w:tc>
        <w:tc>
          <w:tcPr>
            <w:tcW w:w="1534" w:type="dxa"/>
          </w:tcPr>
          <w:p w14:paraId="1630E0A9">
            <w:pPr>
              <w:rPr>
                <w:rFonts w:cstheme="minorHAnsi"/>
                <w:sz w:val="18"/>
                <w:szCs w:val="18"/>
              </w:rPr>
            </w:pPr>
            <w:r>
              <w:rPr>
                <w:rFonts w:hint="eastAsia"/>
                <w:sz w:val="18"/>
                <w:szCs w:val="18"/>
              </w:rPr>
              <w:t>净现金流（1-2）</w:t>
            </w:r>
          </w:p>
        </w:tc>
        <w:tc>
          <w:tcPr>
            <w:tcW w:w="851" w:type="dxa"/>
          </w:tcPr>
          <w:p w14:paraId="6C276E96">
            <w:pPr>
              <w:rPr>
                <w:rFonts w:cstheme="minorHAnsi"/>
                <w:sz w:val="18"/>
                <w:szCs w:val="18"/>
              </w:rPr>
            </w:pPr>
            <w:r>
              <w:rPr>
                <w:sz w:val="18"/>
                <w:szCs w:val="18"/>
              </w:rPr>
              <w:t xml:space="preserve"> 147.81 </w:t>
            </w:r>
          </w:p>
        </w:tc>
        <w:tc>
          <w:tcPr>
            <w:tcW w:w="851" w:type="dxa"/>
          </w:tcPr>
          <w:p w14:paraId="3FCA5D5D">
            <w:pPr>
              <w:rPr>
                <w:rFonts w:cstheme="minorHAnsi"/>
                <w:sz w:val="18"/>
                <w:szCs w:val="18"/>
              </w:rPr>
            </w:pPr>
            <w:r>
              <w:rPr>
                <w:sz w:val="18"/>
                <w:szCs w:val="18"/>
              </w:rPr>
              <w:t xml:space="preserve"> 145.27 </w:t>
            </w:r>
          </w:p>
        </w:tc>
        <w:tc>
          <w:tcPr>
            <w:tcW w:w="852" w:type="dxa"/>
          </w:tcPr>
          <w:p w14:paraId="516C8FC7">
            <w:pPr>
              <w:rPr>
                <w:rFonts w:cstheme="minorHAnsi"/>
                <w:sz w:val="18"/>
                <w:szCs w:val="18"/>
              </w:rPr>
            </w:pPr>
            <w:r>
              <w:rPr>
                <w:sz w:val="18"/>
                <w:szCs w:val="18"/>
              </w:rPr>
              <w:t xml:space="preserve"> 142.62 </w:t>
            </w:r>
          </w:p>
        </w:tc>
        <w:tc>
          <w:tcPr>
            <w:tcW w:w="851" w:type="dxa"/>
          </w:tcPr>
          <w:p w14:paraId="4CD49AB6">
            <w:pPr>
              <w:rPr>
                <w:rFonts w:cstheme="minorHAnsi"/>
                <w:sz w:val="18"/>
                <w:szCs w:val="18"/>
              </w:rPr>
            </w:pPr>
            <w:r>
              <w:rPr>
                <w:sz w:val="18"/>
                <w:szCs w:val="18"/>
              </w:rPr>
              <w:t xml:space="preserve"> 139.89 </w:t>
            </w:r>
          </w:p>
        </w:tc>
        <w:tc>
          <w:tcPr>
            <w:tcW w:w="852" w:type="dxa"/>
          </w:tcPr>
          <w:p w14:paraId="134014A8">
            <w:pPr>
              <w:rPr>
                <w:rFonts w:cstheme="minorHAnsi"/>
                <w:sz w:val="18"/>
                <w:szCs w:val="18"/>
              </w:rPr>
            </w:pPr>
            <w:r>
              <w:rPr>
                <w:sz w:val="18"/>
                <w:szCs w:val="18"/>
              </w:rPr>
              <w:t xml:space="preserve"> 137.05 </w:t>
            </w:r>
          </w:p>
        </w:tc>
        <w:tc>
          <w:tcPr>
            <w:tcW w:w="851" w:type="dxa"/>
          </w:tcPr>
          <w:p w14:paraId="1C653106">
            <w:pPr>
              <w:rPr>
                <w:rFonts w:cstheme="minorHAnsi"/>
                <w:sz w:val="18"/>
                <w:szCs w:val="18"/>
              </w:rPr>
            </w:pPr>
            <w:r>
              <w:rPr>
                <w:sz w:val="18"/>
                <w:szCs w:val="18"/>
              </w:rPr>
              <w:t xml:space="preserve"> 134.12 </w:t>
            </w:r>
          </w:p>
        </w:tc>
        <w:tc>
          <w:tcPr>
            <w:tcW w:w="852" w:type="dxa"/>
          </w:tcPr>
          <w:p w14:paraId="71166B4C">
            <w:pPr>
              <w:rPr>
                <w:rFonts w:cstheme="minorHAnsi"/>
                <w:sz w:val="18"/>
                <w:szCs w:val="18"/>
              </w:rPr>
            </w:pPr>
            <w:r>
              <w:rPr>
                <w:sz w:val="18"/>
                <w:szCs w:val="18"/>
              </w:rPr>
              <w:t xml:space="preserve"> 131.07 </w:t>
            </w:r>
          </w:p>
        </w:tc>
        <w:tc>
          <w:tcPr>
            <w:tcW w:w="851" w:type="dxa"/>
          </w:tcPr>
          <w:p w14:paraId="041F44B0">
            <w:pPr>
              <w:rPr>
                <w:rFonts w:cstheme="minorHAnsi"/>
                <w:sz w:val="18"/>
                <w:szCs w:val="18"/>
              </w:rPr>
            </w:pPr>
            <w:r>
              <w:rPr>
                <w:sz w:val="18"/>
                <w:szCs w:val="18"/>
              </w:rPr>
              <w:t xml:space="preserve"> 127.92 </w:t>
            </w:r>
          </w:p>
        </w:tc>
        <w:tc>
          <w:tcPr>
            <w:tcW w:w="852" w:type="dxa"/>
          </w:tcPr>
          <w:p w14:paraId="3E9AD400">
            <w:pPr>
              <w:rPr>
                <w:rFonts w:cstheme="minorHAnsi"/>
                <w:sz w:val="18"/>
                <w:szCs w:val="18"/>
              </w:rPr>
            </w:pPr>
            <w:r>
              <w:rPr>
                <w:sz w:val="18"/>
                <w:szCs w:val="18"/>
              </w:rPr>
              <w:t xml:space="preserve"> 124.66 </w:t>
            </w:r>
          </w:p>
        </w:tc>
        <w:tc>
          <w:tcPr>
            <w:tcW w:w="851" w:type="dxa"/>
          </w:tcPr>
          <w:p w14:paraId="54C3E974">
            <w:pPr>
              <w:rPr>
                <w:rFonts w:cstheme="minorHAnsi"/>
                <w:sz w:val="18"/>
                <w:szCs w:val="18"/>
              </w:rPr>
            </w:pPr>
            <w:r>
              <w:rPr>
                <w:sz w:val="18"/>
                <w:szCs w:val="18"/>
              </w:rPr>
              <w:t xml:space="preserve"> 121.27 </w:t>
            </w:r>
          </w:p>
        </w:tc>
        <w:tc>
          <w:tcPr>
            <w:tcW w:w="852" w:type="dxa"/>
          </w:tcPr>
          <w:p w14:paraId="7ADFDEBB">
            <w:pPr>
              <w:rPr>
                <w:rFonts w:cstheme="minorHAnsi"/>
                <w:sz w:val="18"/>
                <w:szCs w:val="18"/>
              </w:rPr>
            </w:pPr>
            <w:r>
              <w:rPr>
                <w:sz w:val="18"/>
                <w:szCs w:val="18"/>
              </w:rPr>
              <w:t xml:space="preserve"> 117.77 </w:t>
            </w:r>
          </w:p>
        </w:tc>
        <w:tc>
          <w:tcPr>
            <w:tcW w:w="851" w:type="dxa"/>
          </w:tcPr>
          <w:p w14:paraId="797092BB">
            <w:pPr>
              <w:rPr>
                <w:rFonts w:cstheme="minorHAnsi"/>
                <w:sz w:val="18"/>
                <w:szCs w:val="18"/>
              </w:rPr>
            </w:pPr>
            <w:r>
              <w:rPr>
                <w:sz w:val="18"/>
                <w:szCs w:val="18"/>
              </w:rPr>
              <w:t xml:space="preserve"> 114.14 </w:t>
            </w:r>
          </w:p>
        </w:tc>
        <w:tc>
          <w:tcPr>
            <w:tcW w:w="852" w:type="dxa"/>
          </w:tcPr>
          <w:p w14:paraId="6EBA183A">
            <w:pPr>
              <w:rPr>
                <w:rFonts w:cstheme="minorHAnsi"/>
                <w:sz w:val="18"/>
                <w:szCs w:val="18"/>
              </w:rPr>
            </w:pPr>
            <w:r>
              <w:rPr>
                <w:sz w:val="18"/>
                <w:szCs w:val="18"/>
              </w:rPr>
              <w:t xml:space="preserve"> 110.37 </w:t>
            </w:r>
          </w:p>
        </w:tc>
        <w:tc>
          <w:tcPr>
            <w:tcW w:w="851" w:type="dxa"/>
          </w:tcPr>
          <w:p w14:paraId="7440527E">
            <w:pPr>
              <w:rPr>
                <w:rFonts w:cstheme="minorHAnsi"/>
                <w:sz w:val="18"/>
                <w:szCs w:val="18"/>
              </w:rPr>
            </w:pPr>
            <w:r>
              <w:rPr>
                <w:sz w:val="18"/>
                <w:szCs w:val="18"/>
              </w:rPr>
              <w:t xml:space="preserve"> 106.48 </w:t>
            </w:r>
          </w:p>
        </w:tc>
        <w:tc>
          <w:tcPr>
            <w:tcW w:w="852" w:type="dxa"/>
          </w:tcPr>
          <w:p w14:paraId="62A99B7D">
            <w:pPr>
              <w:rPr>
                <w:rFonts w:cstheme="minorHAnsi"/>
                <w:sz w:val="18"/>
                <w:szCs w:val="18"/>
              </w:rPr>
            </w:pPr>
            <w:r>
              <w:rPr>
                <w:sz w:val="18"/>
                <w:szCs w:val="18"/>
              </w:rPr>
              <w:t xml:space="preserve"> 102.44 </w:t>
            </w:r>
          </w:p>
        </w:tc>
      </w:tr>
    </w:tbl>
    <w:p w14:paraId="54F2B00C">
      <w:pPr>
        <w:pStyle w:val="2"/>
      </w:pPr>
    </w:p>
    <w:p w14:paraId="5D34B52F">
      <w:pPr>
        <w:pStyle w:val="2"/>
      </w:pPr>
    </w:p>
    <w:p w14:paraId="07B248AA">
      <w:pPr>
        <w:pStyle w:val="5"/>
      </w:pPr>
      <w:r>
        <w:t>6</w:t>
      </w:r>
      <w:r>
        <w:rPr>
          <w:rFonts w:hint="eastAsia"/>
        </w:rPr>
        <w:t>、财务测算结果汇总表</w:t>
      </w:r>
    </w:p>
    <w:tbl>
      <w:tblPr>
        <w:tblStyle w:val="18"/>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268"/>
        <w:gridCol w:w="1559"/>
        <w:gridCol w:w="1843"/>
        <w:gridCol w:w="7537"/>
      </w:tblGrid>
      <w:tr w14:paraId="2506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2" w:type="dxa"/>
            <w:tcBorders>
              <w:top w:val="single" w:color="auto" w:sz="4" w:space="0"/>
              <w:left w:val="single" w:color="auto" w:sz="4" w:space="0"/>
              <w:bottom w:val="single" w:color="auto" w:sz="4" w:space="0"/>
              <w:right w:val="single" w:color="auto" w:sz="4" w:space="0"/>
            </w:tcBorders>
            <w:noWrap/>
            <w:vAlign w:val="center"/>
          </w:tcPr>
          <w:p w14:paraId="0BBA1C59">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2268" w:type="dxa"/>
            <w:tcBorders>
              <w:top w:val="single" w:color="auto" w:sz="4" w:space="0"/>
              <w:left w:val="single" w:color="auto" w:sz="4" w:space="0"/>
              <w:bottom w:val="single" w:color="auto" w:sz="4" w:space="0"/>
              <w:right w:val="single" w:color="auto" w:sz="4" w:space="0"/>
            </w:tcBorders>
            <w:noWrap/>
            <w:vAlign w:val="center"/>
          </w:tcPr>
          <w:p w14:paraId="7DDE3295">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w:t>
            </w:r>
          </w:p>
        </w:tc>
        <w:tc>
          <w:tcPr>
            <w:tcW w:w="1559" w:type="dxa"/>
            <w:tcBorders>
              <w:top w:val="single" w:color="auto" w:sz="4" w:space="0"/>
              <w:left w:val="single" w:color="auto" w:sz="4" w:space="0"/>
              <w:bottom w:val="single" w:color="auto" w:sz="4" w:space="0"/>
              <w:right w:val="single" w:color="auto" w:sz="4" w:space="0"/>
            </w:tcBorders>
            <w:noWrap/>
            <w:vAlign w:val="center"/>
          </w:tcPr>
          <w:p w14:paraId="50477D6E">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年平均（万元/年）</w:t>
            </w:r>
          </w:p>
        </w:tc>
        <w:tc>
          <w:tcPr>
            <w:tcW w:w="1843" w:type="dxa"/>
            <w:tcBorders>
              <w:top w:val="single" w:color="auto" w:sz="4" w:space="0"/>
              <w:left w:val="single" w:color="auto" w:sz="4" w:space="0"/>
              <w:bottom w:val="single" w:color="auto" w:sz="4" w:space="0"/>
              <w:right w:val="single" w:color="auto" w:sz="4" w:space="0"/>
            </w:tcBorders>
            <w:vAlign w:val="center"/>
          </w:tcPr>
          <w:p w14:paraId="61A3D62D">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30年累计（万元）</w:t>
            </w:r>
          </w:p>
        </w:tc>
        <w:tc>
          <w:tcPr>
            <w:tcW w:w="7537" w:type="dxa"/>
            <w:tcBorders>
              <w:top w:val="single" w:color="auto" w:sz="4" w:space="0"/>
              <w:left w:val="single" w:color="auto" w:sz="4" w:space="0"/>
              <w:bottom w:val="single" w:color="auto" w:sz="4" w:space="0"/>
              <w:right w:val="single" w:color="auto" w:sz="4" w:space="0"/>
            </w:tcBorders>
            <w:vAlign w:val="center"/>
          </w:tcPr>
          <w:p w14:paraId="655C67CB">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测算说明</w:t>
            </w:r>
          </w:p>
        </w:tc>
      </w:tr>
      <w:tr w14:paraId="5882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0F68DCDF">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一</w:t>
            </w:r>
          </w:p>
        </w:tc>
        <w:tc>
          <w:tcPr>
            <w:tcW w:w="2268" w:type="dxa"/>
            <w:tcBorders>
              <w:top w:val="single" w:color="auto" w:sz="4" w:space="0"/>
              <w:left w:val="single" w:color="auto" w:sz="4" w:space="0"/>
              <w:bottom w:val="single" w:color="auto" w:sz="4" w:space="0"/>
              <w:right w:val="single" w:color="auto" w:sz="4" w:space="0"/>
            </w:tcBorders>
            <w:noWrap/>
          </w:tcPr>
          <w:p w14:paraId="44EE0A30">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摊销及利息</w:t>
            </w:r>
          </w:p>
        </w:tc>
        <w:tc>
          <w:tcPr>
            <w:tcW w:w="1559" w:type="dxa"/>
            <w:tcBorders>
              <w:top w:val="single" w:color="auto" w:sz="4" w:space="0"/>
              <w:left w:val="single" w:color="auto" w:sz="4" w:space="0"/>
              <w:bottom w:val="single" w:color="auto" w:sz="4" w:space="0"/>
              <w:right w:val="single" w:color="auto" w:sz="4" w:space="0"/>
            </w:tcBorders>
            <w:noWrap/>
            <w:vAlign w:val="center"/>
          </w:tcPr>
          <w:p w14:paraId="7B09AF99">
            <w:pPr>
              <w:widowControl/>
              <w:spacing w:line="276" w:lineRule="auto"/>
              <w:jc w:val="center"/>
              <w:rPr>
                <w:rFonts w:ascii="仿宋_GB2312" w:hAnsi="宋体" w:eastAsia="仿宋_GB2312" w:cs="宋体"/>
                <w:b/>
                <w:bCs/>
                <w:color w:val="000000"/>
                <w:kern w:val="0"/>
                <w:szCs w:val="21"/>
              </w:rPr>
            </w:pPr>
            <w:r>
              <w:rPr>
                <w:rFonts w:ascii="仿宋_GB2312" w:hAnsi="宋体" w:eastAsia="仿宋_GB2312" w:cs="宋体"/>
                <w:b/>
                <w:color w:val="000000"/>
                <w:kern w:val="0"/>
                <w:sz w:val="24"/>
              </w:rPr>
              <w:t>557</w:t>
            </w:r>
          </w:p>
        </w:tc>
        <w:tc>
          <w:tcPr>
            <w:tcW w:w="1843" w:type="dxa"/>
            <w:tcBorders>
              <w:top w:val="single" w:color="auto" w:sz="4" w:space="0"/>
              <w:left w:val="single" w:color="auto" w:sz="4" w:space="0"/>
              <w:bottom w:val="single" w:color="auto" w:sz="4" w:space="0"/>
              <w:right w:val="single" w:color="auto" w:sz="4" w:space="0"/>
            </w:tcBorders>
            <w:vAlign w:val="center"/>
          </w:tcPr>
          <w:p w14:paraId="3DA26A75">
            <w:pPr>
              <w:widowControl/>
              <w:spacing w:line="276" w:lineRule="auto"/>
              <w:jc w:val="center"/>
              <w:rPr>
                <w:rFonts w:ascii="仿宋_GB2312" w:hAnsi="宋体" w:eastAsia="仿宋_GB2312" w:cs="宋体"/>
                <w:b/>
                <w:bCs/>
                <w:color w:val="000000"/>
                <w:kern w:val="0"/>
                <w:szCs w:val="21"/>
              </w:rPr>
            </w:pPr>
            <w:r>
              <w:rPr>
                <w:rFonts w:ascii="仿宋_GB2312" w:hAnsi="宋体" w:eastAsia="仿宋_GB2312" w:cs="宋体"/>
                <w:b/>
                <w:color w:val="000000"/>
                <w:kern w:val="0"/>
                <w:sz w:val="24"/>
              </w:rPr>
              <w:t>16699</w:t>
            </w:r>
          </w:p>
        </w:tc>
        <w:tc>
          <w:tcPr>
            <w:tcW w:w="7537" w:type="dxa"/>
            <w:tcBorders>
              <w:top w:val="single" w:color="auto" w:sz="4" w:space="0"/>
              <w:left w:val="single" w:color="auto" w:sz="4" w:space="0"/>
              <w:bottom w:val="single" w:color="auto" w:sz="4" w:space="0"/>
              <w:right w:val="single" w:color="auto" w:sz="4" w:space="0"/>
            </w:tcBorders>
            <w:vAlign w:val="center"/>
          </w:tcPr>
          <w:p w14:paraId="1ADAD74F">
            <w:pPr>
              <w:widowControl/>
              <w:spacing w:line="276" w:lineRule="auto"/>
              <w:jc w:val="center"/>
              <w:rPr>
                <w:rFonts w:ascii="仿宋_GB2312" w:hAnsi="宋体" w:eastAsia="仿宋_GB2312" w:cs="宋体"/>
                <w:b/>
                <w:bCs/>
                <w:color w:val="000000"/>
                <w:kern w:val="0"/>
                <w:szCs w:val="21"/>
              </w:rPr>
            </w:pPr>
          </w:p>
        </w:tc>
      </w:tr>
      <w:tr w14:paraId="47FA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2812D4FE">
            <w:pPr>
              <w:widowControl/>
              <w:spacing w:line="276" w:lineRule="auto"/>
              <w:jc w:val="center"/>
              <w:rPr>
                <w:rFonts w:ascii="仿宋_GB2312" w:hAnsi="宋体" w:eastAsia="仿宋_GB2312" w:cs="宋体"/>
                <w:color w:val="000000"/>
                <w:kern w:val="0"/>
                <w:szCs w:val="21"/>
              </w:rPr>
            </w:pPr>
            <w:r>
              <w:rPr>
                <w:rFonts w:hint="eastAsia" w:ascii="仿宋_GB2312" w:eastAsia="仿宋_GB2312"/>
              </w:rPr>
              <w:t>1.1</w:t>
            </w:r>
          </w:p>
        </w:tc>
        <w:tc>
          <w:tcPr>
            <w:tcW w:w="2268" w:type="dxa"/>
            <w:tcBorders>
              <w:top w:val="single" w:color="auto" w:sz="4" w:space="0"/>
              <w:left w:val="single" w:color="auto" w:sz="4" w:space="0"/>
              <w:bottom w:val="single" w:color="auto" w:sz="4" w:space="0"/>
              <w:right w:val="single" w:color="auto" w:sz="4" w:space="0"/>
            </w:tcBorders>
            <w:noWrap/>
          </w:tcPr>
          <w:p w14:paraId="7581EE09">
            <w:pPr>
              <w:widowControl/>
              <w:spacing w:line="276" w:lineRule="auto"/>
              <w:jc w:val="center"/>
              <w:rPr>
                <w:rFonts w:ascii="仿宋_GB2312" w:hAnsi="宋体" w:eastAsia="仿宋_GB2312" w:cs="宋体"/>
                <w:color w:val="000000"/>
                <w:kern w:val="0"/>
                <w:szCs w:val="21"/>
              </w:rPr>
            </w:pPr>
            <w:r>
              <w:rPr>
                <w:rFonts w:hint="eastAsia" w:ascii="仿宋_GB2312" w:eastAsia="仿宋_GB2312"/>
              </w:rPr>
              <w:t>投资摊销</w:t>
            </w:r>
          </w:p>
        </w:tc>
        <w:tc>
          <w:tcPr>
            <w:tcW w:w="1559" w:type="dxa"/>
            <w:tcBorders>
              <w:top w:val="single" w:color="auto" w:sz="4" w:space="0"/>
              <w:left w:val="single" w:color="auto" w:sz="4" w:space="0"/>
              <w:bottom w:val="single" w:color="auto" w:sz="4" w:space="0"/>
              <w:right w:val="single" w:color="auto" w:sz="4" w:space="0"/>
            </w:tcBorders>
            <w:noWrap/>
            <w:vAlign w:val="center"/>
          </w:tcPr>
          <w:p w14:paraId="1495C057">
            <w:pPr>
              <w:widowControl/>
              <w:spacing w:line="276" w:lineRule="auto"/>
              <w:jc w:val="center"/>
              <w:rPr>
                <w:rFonts w:ascii="仿宋_GB2312" w:hAnsi="宋体" w:eastAsia="仿宋_GB2312" w:cs="宋体"/>
                <w:color w:val="000000"/>
                <w:kern w:val="0"/>
                <w:szCs w:val="21"/>
              </w:rPr>
            </w:pPr>
            <w:r>
              <w:rPr>
                <w:rFonts w:hint="eastAsia" w:ascii="等线" w:hAnsi="等线" w:eastAsia="等线"/>
                <w:color w:val="000000"/>
                <w:sz w:val="20"/>
                <w:szCs w:val="20"/>
              </w:rPr>
              <w:t>367</w:t>
            </w:r>
          </w:p>
        </w:tc>
        <w:tc>
          <w:tcPr>
            <w:tcW w:w="1843" w:type="dxa"/>
            <w:tcBorders>
              <w:top w:val="single" w:color="auto" w:sz="4" w:space="0"/>
              <w:left w:val="single" w:color="auto" w:sz="4" w:space="0"/>
              <w:bottom w:val="single" w:color="auto" w:sz="4" w:space="0"/>
              <w:right w:val="single" w:color="auto" w:sz="4" w:space="0"/>
            </w:tcBorders>
            <w:vAlign w:val="center"/>
          </w:tcPr>
          <w:p w14:paraId="500080D4">
            <w:pPr>
              <w:widowControl/>
              <w:spacing w:line="276" w:lineRule="auto"/>
              <w:jc w:val="center"/>
              <w:rPr>
                <w:rFonts w:ascii="仿宋_GB2312" w:hAnsi="宋体" w:eastAsia="仿宋_GB2312" w:cs="宋体"/>
                <w:color w:val="000000"/>
                <w:kern w:val="0"/>
                <w:szCs w:val="21"/>
              </w:rPr>
            </w:pPr>
            <w:r>
              <w:rPr>
                <w:rFonts w:hint="eastAsia" w:ascii="等线" w:hAnsi="等线" w:eastAsia="等线"/>
                <w:color w:val="000000"/>
                <w:sz w:val="20"/>
                <w:szCs w:val="20"/>
              </w:rPr>
              <w:t>11000</w:t>
            </w:r>
          </w:p>
        </w:tc>
        <w:tc>
          <w:tcPr>
            <w:tcW w:w="7537" w:type="dxa"/>
            <w:tcBorders>
              <w:top w:val="single" w:color="auto" w:sz="4" w:space="0"/>
              <w:left w:val="single" w:color="auto" w:sz="4" w:space="0"/>
              <w:bottom w:val="single" w:color="auto" w:sz="4" w:space="0"/>
              <w:right w:val="single" w:color="auto" w:sz="4" w:space="0"/>
            </w:tcBorders>
            <w:vAlign w:val="center"/>
          </w:tcPr>
          <w:p w14:paraId="3E5B19D6">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24"/>
              </w:rPr>
              <w:t>投资额110</w:t>
            </w:r>
            <w:r>
              <w:rPr>
                <w:rFonts w:ascii="仿宋_GB2312" w:hAnsi="宋体" w:eastAsia="仿宋_GB2312" w:cs="宋体"/>
                <w:color w:val="000000"/>
                <w:kern w:val="0"/>
                <w:sz w:val="24"/>
              </w:rPr>
              <w:t>0</w:t>
            </w:r>
            <w:r>
              <w:rPr>
                <w:rFonts w:hint="eastAsia" w:ascii="仿宋_GB2312" w:hAnsi="宋体" w:eastAsia="仿宋_GB2312" w:cs="宋体"/>
                <w:color w:val="000000"/>
                <w:kern w:val="0"/>
                <w:sz w:val="24"/>
              </w:rPr>
              <w:t>0万元，按30年平均摊销</w:t>
            </w:r>
          </w:p>
        </w:tc>
      </w:tr>
      <w:tr w14:paraId="108E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011EBF27">
            <w:pPr>
              <w:widowControl/>
              <w:spacing w:line="276" w:lineRule="auto"/>
              <w:jc w:val="center"/>
              <w:rPr>
                <w:rFonts w:ascii="仿宋_GB2312" w:hAnsi="宋体" w:eastAsia="仿宋_GB2312" w:cs="宋体"/>
                <w:color w:val="000000"/>
                <w:kern w:val="0"/>
                <w:szCs w:val="21"/>
              </w:rPr>
            </w:pPr>
            <w:r>
              <w:rPr>
                <w:rFonts w:hint="eastAsia" w:ascii="仿宋_GB2312" w:eastAsia="仿宋_GB2312"/>
              </w:rPr>
              <w:t>1.1</w:t>
            </w:r>
          </w:p>
        </w:tc>
        <w:tc>
          <w:tcPr>
            <w:tcW w:w="2268" w:type="dxa"/>
            <w:tcBorders>
              <w:top w:val="single" w:color="auto" w:sz="4" w:space="0"/>
              <w:left w:val="single" w:color="auto" w:sz="4" w:space="0"/>
              <w:bottom w:val="single" w:color="auto" w:sz="4" w:space="0"/>
              <w:right w:val="single" w:color="auto" w:sz="4" w:space="0"/>
            </w:tcBorders>
            <w:noWrap/>
          </w:tcPr>
          <w:p w14:paraId="1397F04C">
            <w:pPr>
              <w:widowControl/>
              <w:spacing w:line="276" w:lineRule="auto"/>
              <w:jc w:val="center"/>
              <w:rPr>
                <w:rFonts w:ascii="仿宋_GB2312" w:hAnsi="宋体" w:eastAsia="仿宋_GB2312" w:cs="宋体"/>
                <w:color w:val="000000"/>
                <w:kern w:val="0"/>
                <w:szCs w:val="21"/>
              </w:rPr>
            </w:pPr>
            <w:r>
              <w:rPr>
                <w:rFonts w:hint="eastAsia" w:ascii="仿宋_GB2312" w:eastAsia="仿宋_GB2312"/>
              </w:rPr>
              <w:t>财务费用</w:t>
            </w:r>
          </w:p>
        </w:tc>
        <w:tc>
          <w:tcPr>
            <w:tcW w:w="1559" w:type="dxa"/>
            <w:tcBorders>
              <w:top w:val="single" w:color="auto" w:sz="4" w:space="0"/>
              <w:left w:val="single" w:color="auto" w:sz="4" w:space="0"/>
              <w:bottom w:val="single" w:color="auto" w:sz="4" w:space="0"/>
              <w:right w:val="single" w:color="auto" w:sz="4" w:space="0"/>
            </w:tcBorders>
            <w:noWrap/>
            <w:vAlign w:val="center"/>
          </w:tcPr>
          <w:p w14:paraId="46EA3EC5">
            <w:pPr>
              <w:widowControl/>
              <w:spacing w:line="276" w:lineRule="auto"/>
              <w:jc w:val="center"/>
              <w:rPr>
                <w:rFonts w:ascii="仿宋_GB2312" w:hAnsi="宋体" w:eastAsia="仿宋_GB2312" w:cs="宋体"/>
                <w:color w:val="000000"/>
                <w:kern w:val="0"/>
                <w:szCs w:val="21"/>
              </w:rPr>
            </w:pPr>
            <w:r>
              <w:rPr>
                <w:rFonts w:hint="eastAsia" w:ascii="等线" w:hAnsi="等线" w:eastAsia="等线"/>
                <w:color w:val="000000"/>
                <w:sz w:val="20"/>
                <w:szCs w:val="20"/>
              </w:rPr>
              <w:t>190</w:t>
            </w:r>
          </w:p>
        </w:tc>
        <w:tc>
          <w:tcPr>
            <w:tcW w:w="1843" w:type="dxa"/>
            <w:tcBorders>
              <w:top w:val="single" w:color="auto" w:sz="4" w:space="0"/>
              <w:left w:val="single" w:color="auto" w:sz="4" w:space="0"/>
              <w:bottom w:val="single" w:color="auto" w:sz="4" w:space="0"/>
              <w:right w:val="single" w:color="auto" w:sz="4" w:space="0"/>
            </w:tcBorders>
            <w:vAlign w:val="center"/>
          </w:tcPr>
          <w:p w14:paraId="2376E286">
            <w:pPr>
              <w:widowControl/>
              <w:spacing w:line="276" w:lineRule="auto"/>
              <w:jc w:val="center"/>
              <w:rPr>
                <w:rFonts w:ascii="仿宋_GB2312" w:hAnsi="宋体" w:eastAsia="仿宋_GB2312" w:cs="宋体"/>
                <w:color w:val="000000"/>
                <w:kern w:val="0"/>
                <w:szCs w:val="21"/>
              </w:rPr>
            </w:pPr>
            <w:r>
              <w:rPr>
                <w:rFonts w:hint="eastAsia" w:ascii="等线" w:hAnsi="等线" w:eastAsia="等线"/>
                <w:color w:val="000000"/>
                <w:sz w:val="20"/>
                <w:szCs w:val="20"/>
              </w:rPr>
              <w:t>5699</w:t>
            </w:r>
          </w:p>
        </w:tc>
        <w:tc>
          <w:tcPr>
            <w:tcW w:w="7537" w:type="dxa"/>
            <w:tcBorders>
              <w:top w:val="single" w:color="auto" w:sz="4" w:space="0"/>
              <w:left w:val="single" w:color="auto" w:sz="4" w:space="0"/>
              <w:bottom w:val="single" w:color="auto" w:sz="4" w:space="0"/>
              <w:right w:val="single" w:color="auto" w:sz="4" w:space="0"/>
            </w:tcBorders>
            <w:vAlign w:val="center"/>
          </w:tcPr>
          <w:p w14:paraId="22DCED79">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24"/>
              </w:rPr>
              <w:t>按照“贷款金额87</w:t>
            </w:r>
            <w:r>
              <w:rPr>
                <w:rFonts w:ascii="仿宋_GB2312" w:hAnsi="宋体" w:eastAsia="仿宋_GB2312" w:cs="宋体"/>
                <w:color w:val="000000"/>
                <w:kern w:val="0"/>
                <w:sz w:val="24"/>
              </w:rPr>
              <w:t>4</w:t>
            </w:r>
            <w:r>
              <w:rPr>
                <w:rFonts w:hint="eastAsia" w:ascii="仿宋_GB2312" w:hAnsi="宋体" w:eastAsia="仿宋_GB2312" w:cs="宋体"/>
                <w:color w:val="000000"/>
                <w:kern w:val="0"/>
                <w:sz w:val="24"/>
              </w:rPr>
              <w:t>6万元、年利率3.6%、贷款期限30年、等额本息”的还款方式，累计应计利息</w:t>
            </w:r>
            <w:r>
              <w:rPr>
                <w:rFonts w:ascii="仿宋_GB2312" w:hAnsi="宋体" w:eastAsia="仿宋_GB2312" w:cs="宋体"/>
                <w:color w:val="000000"/>
                <w:kern w:val="0"/>
                <w:sz w:val="24"/>
              </w:rPr>
              <w:t>5699</w:t>
            </w:r>
            <w:r>
              <w:rPr>
                <w:rFonts w:hint="eastAsia" w:ascii="仿宋_GB2312" w:hAnsi="宋体" w:eastAsia="仿宋_GB2312" w:cs="宋体"/>
                <w:color w:val="000000"/>
                <w:kern w:val="0"/>
                <w:sz w:val="24"/>
              </w:rPr>
              <w:t>万元，年均约190万元</w:t>
            </w:r>
          </w:p>
        </w:tc>
      </w:tr>
      <w:tr w14:paraId="221A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579A1BC5">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二</w:t>
            </w:r>
          </w:p>
        </w:tc>
        <w:tc>
          <w:tcPr>
            <w:tcW w:w="2268" w:type="dxa"/>
            <w:tcBorders>
              <w:top w:val="single" w:color="auto" w:sz="4" w:space="0"/>
              <w:left w:val="single" w:color="auto" w:sz="4" w:space="0"/>
              <w:bottom w:val="single" w:color="auto" w:sz="4" w:space="0"/>
              <w:right w:val="single" w:color="auto" w:sz="4" w:space="0"/>
            </w:tcBorders>
            <w:noWrap/>
          </w:tcPr>
          <w:p w14:paraId="4E283500">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直接运营成本</w:t>
            </w:r>
          </w:p>
        </w:tc>
        <w:tc>
          <w:tcPr>
            <w:tcW w:w="1559" w:type="dxa"/>
            <w:tcBorders>
              <w:top w:val="single" w:color="auto" w:sz="4" w:space="0"/>
              <w:left w:val="single" w:color="auto" w:sz="4" w:space="0"/>
              <w:bottom w:val="single" w:color="auto" w:sz="4" w:space="0"/>
              <w:right w:val="single" w:color="auto" w:sz="4" w:space="0"/>
            </w:tcBorders>
            <w:noWrap/>
            <w:vAlign w:val="center"/>
          </w:tcPr>
          <w:p w14:paraId="77861212">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256</w:t>
            </w:r>
          </w:p>
        </w:tc>
        <w:tc>
          <w:tcPr>
            <w:tcW w:w="1843" w:type="dxa"/>
            <w:tcBorders>
              <w:top w:val="single" w:color="auto" w:sz="4" w:space="0"/>
              <w:left w:val="single" w:color="auto" w:sz="4" w:space="0"/>
              <w:bottom w:val="single" w:color="auto" w:sz="4" w:space="0"/>
              <w:right w:val="single" w:color="auto" w:sz="4" w:space="0"/>
            </w:tcBorders>
            <w:vAlign w:val="center"/>
          </w:tcPr>
          <w:p w14:paraId="6D702AE8">
            <w:pPr>
              <w:widowControl/>
              <w:spacing w:line="276" w:lineRule="auto"/>
              <w:jc w:val="center"/>
              <w:rPr>
                <w:rFonts w:ascii="仿宋_GB2312" w:hAnsi="宋体" w:eastAsia="仿宋_GB2312" w:cs="Times New Roman"/>
                <w:b/>
                <w:bCs/>
                <w:color w:val="000000"/>
                <w:kern w:val="0"/>
                <w:szCs w:val="21"/>
              </w:rPr>
            </w:pPr>
            <w:r>
              <w:rPr>
                <w:rFonts w:hint="eastAsia" w:ascii="仿宋_GB2312" w:hAnsi="宋体" w:eastAsia="仿宋_GB2312" w:cs="宋体"/>
                <w:b/>
                <w:color w:val="000000"/>
                <w:kern w:val="0"/>
                <w:sz w:val="24"/>
              </w:rPr>
              <w:t>7688</w:t>
            </w:r>
          </w:p>
        </w:tc>
        <w:tc>
          <w:tcPr>
            <w:tcW w:w="7537" w:type="dxa"/>
            <w:tcBorders>
              <w:top w:val="single" w:color="auto" w:sz="4" w:space="0"/>
              <w:left w:val="single" w:color="auto" w:sz="4" w:space="0"/>
              <w:bottom w:val="single" w:color="auto" w:sz="4" w:space="0"/>
              <w:right w:val="single" w:color="auto" w:sz="4" w:space="0"/>
            </w:tcBorders>
            <w:vAlign w:val="center"/>
          </w:tcPr>
          <w:p w14:paraId="032AF58E">
            <w:pPr>
              <w:spacing w:line="276" w:lineRule="auto"/>
              <w:rPr>
                <w:rFonts w:ascii="仿宋_GB2312" w:hAnsi="宋体" w:eastAsia="仿宋_GB2312"/>
                <w:b/>
                <w:color w:val="000000"/>
                <w:kern w:val="0"/>
                <w:szCs w:val="21"/>
              </w:rPr>
            </w:pPr>
          </w:p>
        </w:tc>
      </w:tr>
      <w:tr w14:paraId="2E30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7EC394D0">
            <w:pPr>
              <w:widowControl/>
              <w:spacing w:line="276" w:lineRule="auto"/>
              <w:jc w:val="center"/>
              <w:rPr>
                <w:rFonts w:ascii="仿宋_GB2312" w:hAnsi="宋体" w:eastAsia="仿宋_GB2312" w:cs="Arial"/>
                <w:color w:val="000000"/>
                <w:kern w:val="0"/>
                <w:szCs w:val="21"/>
              </w:rPr>
            </w:pPr>
            <w:r>
              <w:rPr>
                <w:rFonts w:hint="eastAsia" w:ascii="仿宋_GB2312" w:eastAsia="仿宋_GB2312"/>
              </w:rPr>
              <w:t>2.1</w:t>
            </w:r>
          </w:p>
        </w:tc>
        <w:tc>
          <w:tcPr>
            <w:tcW w:w="2268" w:type="dxa"/>
            <w:tcBorders>
              <w:top w:val="single" w:color="auto" w:sz="4" w:space="0"/>
              <w:left w:val="single" w:color="auto" w:sz="4" w:space="0"/>
              <w:bottom w:val="single" w:color="auto" w:sz="4" w:space="0"/>
              <w:right w:val="single" w:color="auto" w:sz="4" w:space="0"/>
            </w:tcBorders>
            <w:noWrap/>
          </w:tcPr>
          <w:p w14:paraId="3030EF17">
            <w:pPr>
              <w:widowControl/>
              <w:spacing w:line="276" w:lineRule="auto"/>
              <w:jc w:val="center"/>
              <w:rPr>
                <w:rFonts w:ascii="仿宋_GB2312" w:hAnsi="宋体" w:eastAsia="仿宋_GB2312" w:cs="宋体"/>
                <w:color w:val="000000"/>
                <w:kern w:val="0"/>
                <w:szCs w:val="21"/>
              </w:rPr>
            </w:pPr>
            <w:r>
              <w:rPr>
                <w:rFonts w:hint="eastAsia" w:ascii="仿宋_GB2312" w:eastAsia="仿宋_GB2312"/>
              </w:rPr>
              <w:t>人工湿地、资源化利用及一体化设施的运维费</w:t>
            </w:r>
          </w:p>
        </w:tc>
        <w:tc>
          <w:tcPr>
            <w:tcW w:w="1559" w:type="dxa"/>
            <w:tcBorders>
              <w:top w:val="single" w:color="auto" w:sz="4" w:space="0"/>
              <w:left w:val="single" w:color="auto" w:sz="4" w:space="0"/>
              <w:bottom w:val="single" w:color="auto" w:sz="4" w:space="0"/>
              <w:right w:val="single" w:color="auto" w:sz="4" w:space="0"/>
            </w:tcBorders>
            <w:noWrap/>
            <w:vAlign w:val="center"/>
          </w:tcPr>
          <w:p w14:paraId="60512530">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22</w:t>
            </w:r>
          </w:p>
        </w:tc>
        <w:tc>
          <w:tcPr>
            <w:tcW w:w="1843" w:type="dxa"/>
            <w:tcBorders>
              <w:top w:val="single" w:color="auto" w:sz="4" w:space="0"/>
              <w:left w:val="single" w:color="auto" w:sz="4" w:space="0"/>
              <w:bottom w:val="single" w:color="auto" w:sz="4" w:space="0"/>
              <w:right w:val="single" w:color="auto" w:sz="4" w:space="0"/>
            </w:tcBorders>
            <w:vAlign w:val="center"/>
          </w:tcPr>
          <w:p w14:paraId="240C887E">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656</w:t>
            </w:r>
          </w:p>
        </w:tc>
        <w:tc>
          <w:tcPr>
            <w:tcW w:w="7537" w:type="dxa"/>
            <w:tcBorders>
              <w:top w:val="single" w:color="auto" w:sz="4" w:space="0"/>
              <w:left w:val="single" w:color="auto" w:sz="4" w:space="0"/>
              <w:bottom w:val="single" w:color="auto" w:sz="4" w:space="0"/>
              <w:right w:val="single" w:color="auto" w:sz="4" w:space="0"/>
            </w:tcBorders>
            <w:vAlign w:val="center"/>
          </w:tcPr>
          <w:p w14:paraId="0FDD0C63">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24"/>
              </w:rPr>
              <w:t>参照《广州市农村污水治理设施维修养护年度费用估算指标》中的年度养护费用标准（扣除管理费），按单价27.02元/人</w:t>
            </w:r>
            <w:r>
              <w:rPr>
                <w:rFonts w:hint="eastAsia" w:ascii="微软雅黑" w:hAnsi="微软雅黑" w:eastAsia="微软雅黑" w:cs="微软雅黑"/>
                <w:color w:val="000000"/>
                <w:kern w:val="0"/>
                <w:sz w:val="24"/>
              </w:rPr>
              <w:t>•</w:t>
            </w:r>
            <w:r>
              <w:rPr>
                <w:rFonts w:hint="eastAsia" w:ascii="仿宋_GB2312" w:hAnsi="仿宋_GB2312" w:eastAsia="仿宋_GB2312" w:cs="仿宋_GB2312"/>
                <w:color w:val="000000"/>
                <w:kern w:val="0"/>
                <w:sz w:val="24"/>
              </w:rPr>
              <w:t>年</w:t>
            </w:r>
            <w:r>
              <w:rPr>
                <w:rFonts w:hint="eastAsia" w:ascii="仿宋_GB2312" w:hAnsi="宋体" w:eastAsia="仿宋_GB2312" w:cs="宋体"/>
                <w:color w:val="000000"/>
                <w:kern w:val="0"/>
                <w:sz w:val="24"/>
              </w:rPr>
              <w:t>,乘以人工湿地和资源化利用设施覆盖常住人口8091人</w:t>
            </w:r>
          </w:p>
        </w:tc>
      </w:tr>
      <w:tr w14:paraId="7396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279F320A">
            <w:pPr>
              <w:widowControl/>
              <w:spacing w:line="276" w:lineRule="auto"/>
              <w:jc w:val="center"/>
              <w:rPr>
                <w:rFonts w:ascii="仿宋_GB2312" w:hAnsi="宋体" w:eastAsia="仿宋_GB2312" w:cs="Arial"/>
                <w:color w:val="000000"/>
                <w:kern w:val="0"/>
                <w:szCs w:val="21"/>
              </w:rPr>
            </w:pPr>
            <w:r>
              <w:rPr>
                <w:rFonts w:hint="eastAsia" w:ascii="仿宋_GB2312" w:eastAsia="仿宋_GB2312"/>
              </w:rPr>
              <w:t>2.2</w:t>
            </w:r>
          </w:p>
        </w:tc>
        <w:tc>
          <w:tcPr>
            <w:tcW w:w="2268" w:type="dxa"/>
            <w:tcBorders>
              <w:top w:val="single" w:color="auto" w:sz="4" w:space="0"/>
              <w:left w:val="single" w:color="auto" w:sz="4" w:space="0"/>
              <w:bottom w:val="single" w:color="auto" w:sz="4" w:space="0"/>
              <w:right w:val="single" w:color="auto" w:sz="4" w:space="0"/>
            </w:tcBorders>
            <w:noWrap/>
          </w:tcPr>
          <w:p w14:paraId="214F76D0">
            <w:pPr>
              <w:widowControl/>
              <w:spacing w:line="276" w:lineRule="auto"/>
              <w:jc w:val="center"/>
              <w:rPr>
                <w:rFonts w:ascii="仿宋_GB2312" w:hAnsi="宋体" w:eastAsia="仿宋_GB2312" w:cs="宋体"/>
                <w:color w:val="000000"/>
                <w:kern w:val="0"/>
                <w:szCs w:val="21"/>
              </w:rPr>
            </w:pPr>
            <w:r>
              <w:rPr>
                <w:rFonts w:hint="eastAsia" w:ascii="仿宋_GB2312" w:eastAsia="仿宋_GB2312"/>
              </w:rPr>
              <w:t>人工湿地、资源化利用及一体化维修费（含大修重置）</w:t>
            </w:r>
          </w:p>
        </w:tc>
        <w:tc>
          <w:tcPr>
            <w:tcW w:w="1559" w:type="dxa"/>
            <w:tcBorders>
              <w:top w:val="single" w:color="auto" w:sz="4" w:space="0"/>
              <w:left w:val="single" w:color="auto" w:sz="4" w:space="0"/>
              <w:bottom w:val="single" w:color="auto" w:sz="4" w:space="0"/>
              <w:right w:val="single" w:color="auto" w:sz="4" w:space="0"/>
            </w:tcBorders>
            <w:noWrap/>
            <w:vAlign w:val="center"/>
          </w:tcPr>
          <w:p w14:paraId="008DC07D">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23</w:t>
            </w:r>
          </w:p>
        </w:tc>
        <w:tc>
          <w:tcPr>
            <w:tcW w:w="1843" w:type="dxa"/>
            <w:tcBorders>
              <w:top w:val="single" w:color="auto" w:sz="4" w:space="0"/>
              <w:left w:val="single" w:color="auto" w:sz="4" w:space="0"/>
              <w:bottom w:val="single" w:color="auto" w:sz="4" w:space="0"/>
              <w:right w:val="single" w:color="auto" w:sz="4" w:space="0"/>
            </w:tcBorders>
            <w:vAlign w:val="center"/>
          </w:tcPr>
          <w:p w14:paraId="591E345B">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700</w:t>
            </w:r>
          </w:p>
        </w:tc>
        <w:tc>
          <w:tcPr>
            <w:tcW w:w="7537" w:type="dxa"/>
            <w:tcBorders>
              <w:top w:val="single" w:color="auto" w:sz="4" w:space="0"/>
              <w:left w:val="single" w:color="auto" w:sz="4" w:space="0"/>
              <w:bottom w:val="single" w:color="auto" w:sz="4" w:space="0"/>
              <w:right w:val="single" w:color="auto" w:sz="4" w:space="0"/>
            </w:tcBorders>
            <w:vAlign w:val="center"/>
          </w:tcPr>
          <w:p w14:paraId="76CB62B2">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24"/>
              </w:rPr>
              <w:t>参照《广州市农村污水治理设施维修养护年度费用估算指标》中年度维修费标准（扣除其他费）， 按单价28.82元/人</w:t>
            </w:r>
            <w:r>
              <w:rPr>
                <w:rFonts w:hint="eastAsia" w:ascii="微软雅黑" w:hAnsi="微软雅黑" w:eastAsia="微软雅黑" w:cs="微软雅黑"/>
                <w:color w:val="000000"/>
                <w:kern w:val="0"/>
                <w:sz w:val="24"/>
              </w:rPr>
              <w:t>•</w:t>
            </w:r>
            <w:r>
              <w:rPr>
                <w:rFonts w:hint="eastAsia" w:ascii="仿宋_GB2312" w:hAnsi="宋体" w:eastAsia="仿宋_GB2312" w:cs="宋体"/>
                <w:color w:val="000000"/>
                <w:kern w:val="0"/>
                <w:sz w:val="24"/>
              </w:rPr>
              <w:t>年，乘以人工湿地和资源化利用设施覆盖常住人口</w:t>
            </w:r>
            <w:r>
              <w:rPr>
                <w:rFonts w:ascii="仿宋_GB2312" w:hAnsi="宋体" w:eastAsia="仿宋_GB2312" w:cs="宋体"/>
                <w:color w:val="000000"/>
                <w:kern w:val="0"/>
                <w:sz w:val="24"/>
              </w:rPr>
              <w:t>8091</w:t>
            </w:r>
            <w:r>
              <w:rPr>
                <w:rFonts w:hint="eastAsia" w:ascii="仿宋_GB2312" w:hAnsi="宋体" w:eastAsia="仿宋_GB2312" w:cs="宋体"/>
                <w:color w:val="000000"/>
                <w:kern w:val="0"/>
                <w:sz w:val="24"/>
              </w:rPr>
              <w:t>人</w:t>
            </w:r>
          </w:p>
        </w:tc>
      </w:tr>
      <w:tr w14:paraId="0C6C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63F9291F">
            <w:pPr>
              <w:widowControl/>
              <w:spacing w:line="276" w:lineRule="auto"/>
              <w:jc w:val="center"/>
              <w:rPr>
                <w:rFonts w:ascii="仿宋_GB2312" w:hAnsi="宋体" w:eastAsia="仿宋_GB2312" w:cs="Arial"/>
                <w:color w:val="000000"/>
                <w:kern w:val="0"/>
                <w:szCs w:val="21"/>
              </w:rPr>
            </w:pPr>
            <w:r>
              <w:rPr>
                <w:rFonts w:hint="eastAsia" w:ascii="仿宋_GB2312" w:eastAsia="仿宋_GB2312"/>
              </w:rPr>
              <w:t>2.3</w:t>
            </w:r>
          </w:p>
        </w:tc>
        <w:tc>
          <w:tcPr>
            <w:tcW w:w="2268" w:type="dxa"/>
            <w:tcBorders>
              <w:top w:val="single" w:color="auto" w:sz="4" w:space="0"/>
              <w:left w:val="single" w:color="auto" w:sz="4" w:space="0"/>
              <w:bottom w:val="single" w:color="auto" w:sz="4" w:space="0"/>
              <w:right w:val="single" w:color="auto" w:sz="4" w:space="0"/>
            </w:tcBorders>
            <w:noWrap/>
          </w:tcPr>
          <w:p w14:paraId="68AB7E2C">
            <w:pPr>
              <w:widowControl/>
              <w:spacing w:line="276" w:lineRule="auto"/>
              <w:jc w:val="center"/>
              <w:rPr>
                <w:rFonts w:ascii="仿宋_GB2312" w:hAnsi="宋体" w:eastAsia="仿宋_GB2312" w:cs="宋体"/>
                <w:color w:val="000000"/>
                <w:kern w:val="0"/>
                <w:szCs w:val="21"/>
              </w:rPr>
            </w:pPr>
            <w:r>
              <w:rPr>
                <w:rFonts w:hint="eastAsia" w:ascii="仿宋_GB2312" w:eastAsia="仿宋_GB2312"/>
              </w:rPr>
              <w:t>管网运维费</w:t>
            </w:r>
          </w:p>
        </w:tc>
        <w:tc>
          <w:tcPr>
            <w:tcW w:w="1559" w:type="dxa"/>
            <w:tcBorders>
              <w:top w:val="single" w:color="auto" w:sz="4" w:space="0"/>
              <w:left w:val="single" w:color="auto" w:sz="4" w:space="0"/>
              <w:bottom w:val="single" w:color="auto" w:sz="4" w:space="0"/>
              <w:right w:val="single" w:color="auto" w:sz="4" w:space="0"/>
            </w:tcBorders>
            <w:noWrap/>
            <w:vAlign w:val="center"/>
          </w:tcPr>
          <w:p w14:paraId="16145E1D">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41</w:t>
            </w:r>
          </w:p>
        </w:tc>
        <w:tc>
          <w:tcPr>
            <w:tcW w:w="1843" w:type="dxa"/>
            <w:tcBorders>
              <w:top w:val="single" w:color="auto" w:sz="4" w:space="0"/>
              <w:left w:val="single" w:color="auto" w:sz="4" w:space="0"/>
              <w:bottom w:val="single" w:color="auto" w:sz="4" w:space="0"/>
              <w:right w:val="single" w:color="auto" w:sz="4" w:space="0"/>
            </w:tcBorders>
            <w:vAlign w:val="center"/>
          </w:tcPr>
          <w:p w14:paraId="266B493E">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1232</w:t>
            </w:r>
          </w:p>
        </w:tc>
        <w:tc>
          <w:tcPr>
            <w:tcW w:w="7537" w:type="dxa"/>
            <w:tcBorders>
              <w:top w:val="single" w:color="auto" w:sz="4" w:space="0"/>
              <w:left w:val="single" w:color="auto" w:sz="4" w:space="0"/>
              <w:bottom w:val="single" w:color="auto" w:sz="4" w:space="0"/>
              <w:right w:val="single" w:color="auto" w:sz="4" w:space="0"/>
            </w:tcBorders>
            <w:vAlign w:val="center"/>
          </w:tcPr>
          <w:p w14:paraId="7CE586AB">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24"/>
              </w:rPr>
              <w:t xml:space="preserve">按单价1.2万元/km </w:t>
            </w:r>
            <w:r>
              <w:rPr>
                <w:rFonts w:hint="eastAsia" w:ascii="微软雅黑" w:hAnsi="微软雅黑" w:eastAsia="微软雅黑" w:cs="微软雅黑"/>
                <w:color w:val="000000"/>
                <w:kern w:val="0"/>
                <w:sz w:val="24"/>
              </w:rPr>
              <w:t>•</w:t>
            </w:r>
            <w:r>
              <w:rPr>
                <w:rFonts w:hint="eastAsia" w:ascii="仿宋_GB2312" w:hAnsi="宋体" w:eastAsia="仿宋_GB2312" w:cs="宋体"/>
                <w:color w:val="000000"/>
                <w:kern w:val="0"/>
                <w:sz w:val="24"/>
              </w:rPr>
              <w:t>年，乘以纳厂管渠长度3</w:t>
            </w:r>
            <w:r>
              <w:rPr>
                <w:rFonts w:ascii="仿宋_GB2312" w:hAnsi="宋体" w:eastAsia="仿宋_GB2312" w:cs="宋体"/>
                <w:color w:val="000000"/>
                <w:kern w:val="0"/>
                <w:sz w:val="24"/>
              </w:rPr>
              <w:t>4</w:t>
            </w:r>
            <w:r>
              <w:rPr>
                <w:rFonts w:hint="eastAsia" w:ascii="仿宋_GB2312" w:hAnsi="宋体" w:eastAsia="仿宋_GB2312" w:cs="宋体"/>
                <w:color w:val="000000"/>
                <w:kern w:val="0"/>
                <w:sz w:val="24"/>
              </w:rPr>
              <w:t>.2km</w:t>
            </w:r>
          </w:p>
        </w:tc>
      </w:tr>
      <w:tr w14:paraId="1297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3039AC98">
            <w:pPr>
              <w:widowControl/>
              <w:spacing w:line="276" w:lineRule="auto"/>
              <w:jc w:val="center"/>
              <w:rPr>
                <w:rFonts w:ascii="仿宋_GB2312" w:hAnsi="宋体" w:eastAsia="仿宋_GB2312" w:cs="Arial"/>
                <w:color w:val="000000"/>
                <w:kern w:val="0"/>
                <w:szCs w:val="21"/>
              </w:rPr>
            </w:pPr>
            <w:r>
              <w:rPr>
                <w:rFonts w:hint="eastAsia" w:ascii="仿宋_GB2312" w:eastAsia="仿宋_GB2312"/>
              </w:rPr>
              <w:t>2.4</w:t>
            </w:r>
          </w:p>
        </w:tc>
        <w:tc>
          <w:tcPr>
            <w:tcW w:w="2268" w:type="dxa"/>
            <w:tcBorders>
              <w:top w:val="single" w:color="auto" w:sz="4" w:space="0"/>
              <w:left w:val="single" w:color="auto" w:sz="4" w:space="0"/>
              <w:bottom w:val="single" w:color="auto" w:sz="4" w:space="0"/>
              <w:right w:val="single" w:color="auto" w:sz="4" w:space="0"/>
            </w:tcBorders>
            <w:noWrap/>
          </w:tcPr>
          <w:p w14:paraId="2F9F0468">
            <w:pPr>
              <w:widowControl/>
              <w:spacing w:line="276" w:lineRule="auto"/>
              <w:jc w:val="center"/>
              <w:rPr>
                <w:rFonts w:ascii="仿宋_GB2312" w:hAnsi="宋体" w:eastAsia="仿宋_GB2312" w:cs="宋体"/>
                <w:color w:val="000000"/>
                <w:kern w:val="0"/>
                <w:szCs w:val="21"/>
              </w:rPr>
            </w:pPr>
            <w:r>
              <w:rPr>
                <w:rFonts w:hint="eastAsia" w:ascii="仿宋_GB2312" w:eastAsia="仿宋_GB2312"/>
              </w:rPr>
              <w:t>管网大中修费</w:t>
            </w:r>
          </w:p>
        </w:tc>
        <w:tc>
          <w:tcPr>
            <w:tcW w:w="1559" w:type="dxa"/>
            <w:tcBorders>
              <w:top w:val="single" w:color="auto" w:sz="4" w:space="0"/>
              <w:left w:val="single" w:color="auto" w:sz="4" w:space="0"/>
              <w:bottom w:val="single" w:color="auto" w:sz="4" w:space="0"/>
              <w:right w:val="single" w:color="auto" w:sz="4" w:space="0"/>
            </w:tcBorders>
            <w:noWrap/>
            <w:vAlign w:val="center"/>
          </w:tcPr>
          <w:p w14:paraId="0278E4AC">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104</w:t>
            </w:r>
          </w:p>
        </w:tc>
        <w:tc>
          <w:tcPr>
            <w:tcW w:w="1843" w:type="dxa"/>
            <w:tcBorders>
              <w:top w:val="single" w:color="auto" w:sz="4" w:space="0"/>
              <w:left w:val="single" w:color="auto" w:sz="4" w:space="0"/>
              <w:bottom w:val="single" w:color="auto" w:sz="4" w:space="0"/>
              <w:right w:val="single" w:color="auto" w:sz="4" w:space="0"/>
            </w:tcBorders>
            <w:vAlign w:val="center"/>
          </w:tcPr>
          <w:p w14:paraId="72E95A9F">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3121</w:t>
            </w:r>
          </w:p>
        </w:tc>
        <w:tc>
          <w:tcPr>
            <w:tcW w:w="7537" w:type="dxa"/>
            <w:tcBorders>
              <w:top w:val="single" w:color="auto" w:sz="4" w:space="0"/>
              <w:left w:val="single" w:color="auto" w:sz="4" w:space="0"/>
              <w:bottom w:val="single" w:color="auto" w:sz="4" w:space="0"/>
              <w:right w:val="single" w:color="auto" w:sz="4" w:space="0"/>
            </w:tcBorders>
            <w:vAlign w:val="center"/>
          </w:tcPr>
          <w:p w14:paraId="7D46722F">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24"/>
              </w:rPr>
              <w:t>纳厂管网项目原建设投资额的1%计取</w:t>
            </w:r>
          </w:p>
        </w:tc>
      </w:tr>
      <w:tr w14:paraId="68AE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54395C0B">
            <w:pPr>
              <w:widowControl/>
              <w:spacing w:line="276" w:lineRule="auto"/>
              <w:jc w:val="center"/>
              <w:rPr>
                <w:rFonts w:ascii="仿宋_GB2312" w:hAnsi="宋体" w:eastAsia="仿宋_GB2312" w:cs="Arial"/>
                <w:color w:val="000000"/>
                <w:kern w:val="0"/>
                <w:szCs w:val="21"/>
              </w:rPr>
            </w:pPr>
            <w:r>
              <w:rPr>
                <w:rFonts w:hint="eastAsia" w:ascii="仿宋_GB2312" w:eastAsia="仿宋_GB2312"/>
              </w:rPr>
              <w:t>2.5</w:t>
            </w:r>
          </w:p>
        </w:tc>
        <w:tc>
          <w:tcPr>
            <w:tcW w:w="2268" w:type="dxa"/>
            <w:tcBorders>
              <w:top w:val="single" w:color="auto" w:sz="4" w:space="0"/>
              <w:left w:val="single" w:color="auto" w:sz="4" w:space="0"/>
              <w:bottom w:val="single" w:color="auto" w:sz="4" w:space="0"/>
              <w:right w:val="single" w:color="auto" w:sz="4" w:space="0"/>
            </w:tcBorders>
            <w:noWrap/>
          </w:tcPr>
          <w:p w14:paraId="378CF833">
            <w:pPr>
              <w:widowControl/>
              <w:spacing w:line="276" w:lineRule="auto"/>
              <w:jc w:val="center"/>
              <w:rPr>
                <w:rFonts w:ascii="仿宋_GB2312" w:hAnsi="宋体" w:eastAsia="仿宋_GB2312" w:cs="宋体"/>
                <w:color w:val="000000"/>
                <w:kern w:val="0"/>
                <w:szCs w:val="21"/>
              </w:rPr>
            </w:pPr>
            <w:r>
              <w:rPr>
                <w:rFonts w:hint="eastAsia" w:ascii="仿宋_GB2312" w:eastAsia="仿宋_GB2312"/>
              </w:rPr>
              <w:t>人工成本</w:t>
            </w:r>
          </w:p>
        </w:tc>
        <w:tc>
          <w:tcPr>
            <w:tcW w:w="1559" w:type="dxa"/>
            <w:tcBorders>
              <w:top w:val="single" w:color="auto" w:sz="4" w:space="0"/>
              <w:left w:val="single" w:color="auto" w:sz="4" w:space="0"/>
              <w:bottom w:val="single" w:color="auto" w:sz="4" w:space="0"/>
              <w:right w:val="single" w:color="auto" w:sz="4" w:space="0"/>
            </w:tcBorders>
            <w:noWrap/>
            <w:vAlign w:val="center"/>
          </w:tcPr>
          <w:p w14:paraId="361A8D14">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51</w:t>
            </w:r>
          </w:p>
        </w:tc>
        <w:tc>
          <w:tcPr>
            <w:tcW w:w="1843" w:type="dxa"/>
            <w:tcBorders>
              <w:top w:val="single" w:color="auto" w:sz="4" w:space="0"/>
              <w:left w:val="single" w:color="auto" w:sz="4" w:space="0"/>
              <w:bottom w:val="single" w:color="auto" w:sz="4" w:space="0"/>
              <w:right w:val="single" w:color="auto" w:sz="4" w:space="0"/>
            </w:tcBorders>
            <w:vAlign w:val="center"/>
          </w:tcPr>
          <w:p w14:paraId="33A2F5DC">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1543</w:t>
            </w:r>
          </w:p>
        </w:tc>
        <w:tc>
          <w:tcPr>
            <w:tcW w:w="7537" w:type="dxa"/>
            <w:tcBorders>
              <w:top w:val="single" w:color="auto" w:sz="4" w:space="0"/>
              <w:left w:val="single" w:color="auto" w:sz="4" w:space="0"/>
              <w:bottom w:val="single" w:color="auto" w:sz="4" w:space="0"/>
              <w:right w:val="single" w:color="auto" w:sz="4" w:space="0"/>
            </w:tcBorders>
            <w:vAlign w:val="center"/>
          </w:tcPr>
          <w:p w14:paraId="0DBEB83D">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24"/>
              </w:rPr>
              <w:t>按潮州市统计局公布的前一年度全市城镇非私营单位，“水利、环境和公共设施管理业”在岗职工平均工资64295元/年；按公司配置8人（项目负责人1人，行政、财务、技术各1人，巡查养护人员两班4人）计</w:t>
            </w:r>
          </w:p>
        </w:tc>
      </w:tr>
      <w:tr w14:paraId="1CBD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136091B0">
            <w:pPr>
              <w:widowControl/>
              <w:spacing w:line="276" w:lineRule="auto"/>
              <w:jc w:val="center"/>
              <w:rPr>
                <w:rFonts w:ascii="仿宋_GB2312" w:hAnsi="宋体" w:eastAsia="仿宋_GB2312" w:cs="Arial"/>
                <w:color w:val="000000"/>
                <w:kern w:val="0"/>
                <w:szCs w:val="21"/>
              </w:rPr>
            </w:pPr>
            <w:r>
              <w:rPr>
                <w:rFonts w:hint="eastAsia" w:ascii="仿宋_GB2312" w:eastAsia="仿宋_GB2312"/>
              </w:rPr>
              <w:t>2.6</w:t>
            </w:r>
          </w:p>
        </w:tc>
        <w:tc>
          <w:tcPr>
            <w:tcW w:w="2268" w:type="dxa"/>
            <w:tcBorders>
              <w:top w:val="single" w:color="auto" w:sz="4" w:space="0"/>
              <w:left w:val="single" w:color="auto" w:sz="4" w:space="0"/>
              <w:bottom w:val="single" w:color="auto" w:sz="4" w:space="0"/>
              <w:right w:val="single" w:color="auto" w:sz="4" w:space="0"/>
            </w:tcBorders>
            <w:noWrap/>
          </w:tcPr>
          <w:p w14:paraId="7AC1C9A0">
            <w:pPr>
              <w:widowControl/>
              <w:spacing w:line="276" w:lineRule="auto"/>
              <w:jc w:val="center"/>
              <w:rPr>
                <w:rFonts w:ascii="仿宋_GB2312" w:hAnsi="宋体" w:eastAsia="仿宋_GB2312" w:cs="宋体"/>
                <w:color w:val="000000"/>
                <w:kern w:val="0"/>
                <w:szCs w:val="21"/>
              </w:rPr>
            </w:pPr>
            <w:r>
              <w:rPr>
                <w:rFonts w:hint="eastAsia" w:ascii="仿宋_GB2312" w:eastAsia="仿宋_GB2312"/>
              </w:rPr>
              <w:t>公司管理费</w:t>
            </w:r>
          </w:p>
        </w:tc>
        <w:tc>
          <w:tcPr>
            <w:tcW w:w="1559" w:type="dxa"/>
            <w:tcBorders>
              <w:top w:val="single" w:color="auto" w:sz="4" w:space="0"/>
              <w:left w:val="single" w:color="auto" w:sz="4" w:space="0"/>
              <w:bottom w:val="single" w:color="auto" w:sz="4" w:space="0"/>
              <w:right w:val="single" w:color="auto" w:sz="4" w:space="0"/>
            </w:tcBorders>
            <w:noWrap/>
            <w:vAlign w:val="center"/>
          </w:tcPr>
          <w:p w14:paraId="77610445">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FEDC2BA">
            <w:pPr>
              <w:widowControl/>
              <w:spacing w:line="276" w:lineRule="auto"/>
              <w:jc w:val="center"/>
              <w:rPr>
                <w:rFonts w:ascii="仿宋_GB2312" w:hAnsi="宋体" w:eastAsia="仿宋_GB2312" w:cs="宋体"/>
                <w:bCs/>
                <w:color w:val="000000"/>
                <w:kern w:val="0"/>
                <w:szCs w:val="21"/>
              </w:rPr>
            </w:pPr>
            <w:r>
              <w:rPr>
                <w:rFonts w:hint="eastAsia" w:ascii="仿宋_GB2312" w:hAnsi="宋体" w:eastAsia="仿宋_GB2312" w:cs="宋体"/>
                <w:color w:val="000000"/>
                <w:kern w:val="0"/>
                <w:sz w:val="24"/>
              </w:rPr>
              <w:t>435</w:t>
            </w:r>
          </w:p>
        </w:tc>
        <w:tc>
          <w:tcPr>
            <w:tcW w:w="7537" w:type="dxa"/>
            <w:tcBorders>
              <w:top w:val="single" w:color="auto" w:sz="4" w:space="0"/>
              <w:left w:val="single" w:color="auto" w:sz="4" w:space="0"/>
              <w:bottom w:val="single" w:color="auto" w:sz="4" w:space="0"/>
              <w:right w:val="single" w:color="auto" w:sz="4" w:space="0"/>
            </w:tcBorders>
            <w:vAlign w:val="center"/>
          </w:tcPr>
          <w:p w14:paraId="3F54368F">
            <w:pPr>
              <w:widowControl/>
              <w:spacing w:line="276"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24"/>
              </w:rPr>
              <w:t>参照住建部《市政公用设施建设项目经济评价方法与参数》计取公司管理费，按直接成本2</w:t>
            </w:r>
            <w:r>
              <w:rPr>
                <w:rFonts w:ascii="仿宋_GB2312" w:hAnsi="宋体" w:eastAsia="仿宋_GB2312" w:cs="宋体"/>
                <w:color w:val="000000"/>
                <w:kern w:val="0"/>
                <w:sz w:val="24"/>
              </w:rPr>
              <w:t>42</w:t>
            </w:r>
            <w:r>
              <w:rPr>
                <w:rFonts w:hint="eastAsia" w:ascii="仿宋_GB2312" w:hAnsi="宋体" w:eastAsia="仿宋_GB2312" w:cs="宋体"/>
                <w:color w:val="000000"/>
                <w:kern w:val="0"/>
                <w:sz w:val="24"/>
              </w:rPr>
              <w:t>万元（不含摊销及利息）的</w:t>
            </w:r>
            <w:r>
              <w:rPr>
                <w:rFonts w:ascii="仿宋_GB2312" w:hAnsi="宋体" w:eastAsia="仿宋_GB2312" w:cs="宋体"/>
                <w:color w:val="000000"/>
                <w:kern w:val="0"/>
                <w:sz w:val="24"/>
              </w:rPr>
              <w:t>6</w:t>
            </w:r>
            <w:r>
              <w:rPr>
                <w:rFonts w:hint="eastAsia" w:ascii="仿宋_GB2312" w:hAnsi="宋体" w:eastAsia="仿宋_GB2312" w:cs="宋体"/>
                <w:color w:val="000000"/>
                <w:kern w:val="0"/>
                <w:sz w:val="24"/>
              </w:rPr>
              <w:t>%计</w:t>
            </w:r>
          </w:p>
        </w:tc>
      </w:tr>
      <w:tr w14:paraId="5DC8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38C9CEB9">
            <w:pPr>
              <w:widowControl/>
              <w:spacing w:line="276" w:lineRule="auto"/>
              <w:jc w:val="center"/>
              <w:rPr>
                <w:rFonts w:ascii="仿宋_GB2312" w:hAnsi="宋体" w:eastAsia="仿宋_GB2312" w:cs="Arial"/>
                <w:b/>
                <w:bCs/>
                <w:color w:val="000000"/>
                <w:kern w:val="0"/>
                <w:szCs w:val="21"/>
              </w:rPr>
            </w:pPr>
            <w:r>
              <w:rPr>
                <w:rFonts w:hint="eastAsia" w:ascii="仿宋_GB2312" w:eastAsia="仿宋_GB2312"/>
                <w:b/>
                <w:bCs/>
              </w:rPr>
              <w:t>三</w:t>
            </w:r>
          </w:p>
        </w:tc>
        <w:tc>
          <w:tcPr>
            <w:tcW w:w="2268" w:type="dxa"/>
            <w:tcBorders>
              <w:top w:val="single" w:color="auto" w:sz="4" w:space="0"/>
              <w:left w:val="single" w:color="auto" w:sz="4" w:space="0"/>
              <w:bottom w:val="single" w:color="auto" w:sz="4" w:space="0"/>
              <w:right w:val="single" w:color="auto" w:sz="4" w:space="0"/>
            </w:tcBorders>
            <w:noWrap/>
          </w:tcPr>
          <w:p w14:paraId="310C6D2B">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增值税及附加</w:t>
            </w:r>
          </w:p>
        </w:tc>
        <w:tc>
          <w:tcPr>
            <w:tcW w:w="1559" w:type="dxa"/>
            <w:tcBorders>
              <w:top w:val="single" w:color="auto" w:sz="4" w:space="0"/>
              <w:left w:val="single" w:color="auto" w:sz="4" w:space="0"/>
              <w:bottom w:val="single" w:color="auto" w:sz="4" w:space="0"/>
              <w:right w:val="single" w:color="auto" w:sz="4" w:space="0"/>
            </w:tcBorders>
            <w:noWrap/>
            <w:vAlign w:val="center"/>
          </w:tcPr>
          <w:p w14:paraId="44C4DBEB">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4F35A348">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359</w:t>
            </w:r>
          </w:p>
        </w:tc>
        <w:tc>
          <w:tcPr>
            <w:tcW w:w="7537" w:type="dxa"/>
            <w:tcBorders>
              <w:top w:val="single" w:color="auto" w:sz="4" w:space="0"/>
              <w:left w:val="single" w:color="auto" w:sz="4" w:space="0"/>
              <w:bottom w:val="single" w:color="auto" w:sz="4" w:space="0"/>
              <w:right w:val="single" w:color="auto" w:sz="4" w:space="0"/>
            </w:tcBorders>
            <w:vAlign w:val="center"/>
          </w:tcPr>
          <w:p w14:paraId="57C5E3FC">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增值税税率为6%，按70%退税，考虑进项抵扣因素，应计增值税约12万元/年</w:t>
            </w:r>
          </w:p>
        </w:tc>
      </w:tr>
      <w:tr w14:paraId="2198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631E64F7">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四</w:t>
            </w:r>
          </w:p>
        </w:tc>
        <w:tc>
          <w:tcPr>
            <w:tcW w:w="2268" w:type="dxa"/>
            <w:tcBorders>
              <w:top w:val="single" w:color="auto" w:sz="4" w:space="0"/>
              <w:left w:val="single" w:color="auto" w:sz="4" w:space="0"/>
              <w:bottom w:val="single" w:color="auto" w:sz="4" w:space="0"/>
              <w:right w:val="single" w:color="auto" w:sz="4" w:space="0"/>
            </w:tcBorders>
            <w:noWrap/>
          </w:tcPr>
          <w:p w14:paraId="201452EA">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税前利润</w:t>
            </w:r>
          </w:p>
        </w:tc>
        <w:tc>
          <w:tcPr>
            <w:tcW w:w="1559" w:type="dxa"/>
            <w:tcBorders>
              <w:top w:val="single" w:color="auto" w:sz="4" w:space="0"/>
              <w:left w:val="single" w:color="auto" w:sz="4" w:space="0"/>
              <w:bottom w:val="single" w:color="auto" w:sz="4" w:space="0"/>
              <w:right w:val="single" w:color="auto" w:sz="4" w:space="0"/>
            </w:tcBorders>
            <w:noWrap/>
            <w:vAlign w:val="center"/>
          </w:tcPr>
          <w:p w14:paraId="46BDA629">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94</w:t>
            </w:r>
          </w:p>
        </w:tc>
        <w:tc>
          <w:tcPr>
            <w:tcW w:w="1843" w:type="dxa"/>
            <w:tcBorders>
              <w:top w:val="single" w:color="auto" w:sz="4" w:space="0"/>
              <w:left w:val="single" w:color="auto" w:sz="4" w:space="0"/>
              <w:bottom w:val="single" w:color="auto" w:sz="4" w:space="0"/>
              <w:right w:val="single" w:color="auto" w:sz="4" w:space="0"/>
            </w:tcBorders>
            <w:vAlign w:val="center"/>
          </w:tcPr>
          <w:p w14:paraId="749C53D9">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2825</w:t>
            </w:r>
          </w:p>
        </w:tc>
        <w:tc>
          <w:tcPr>
            <w:tcW w:w="7537" w:type="dxa"/>
            <w:tcBorders>
              <w:top w:val="single" w:color="auto" w:sz="4" w:space="0"/>
              <w:left w:val="single" w:color="auto" w:sz="4" w:space="0"/>
              <w:bottom w:val="single" w:color="auto" w:sz="4" w:space="0"/>
              <w:right w:val="single" w:color="auto" w:sz="4" w:space="0"/>
            </w:tcBorders>
            <w:vAlign w:val="center"/>
          </w:tcPr>
          <w:p w14:paraId="2C49ADAF">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利润按照资本性投入2254万元、内部收益率6%计</w:t>
            </w:r>
          </w:p>
        </w:tc>
      </w:tr>
      <w:tr w14:paraId="3B39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01763E69">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五</w:t>
            </w:r>
          </w:p>
        </w:tc>
        <w:tc>
          <w:tcPr>
            <w:tcW w:w="2268" w:type="dxa"/>
            <w:tcBorders>
              <w:top w:val="single" w:color="auto" w:sz="4" w:space="0"/>
              <w:left w:val="single" w:color="auto" w:sz="4" w:space="0"/>
              <w:bottom w:val="single" w:color="auto" w:sz="4" w:space="0"/>
              <w:right w:val="single" w:color="auto" w:sz="4" w:space="0"/>
            </w:tcBorders>
            <w:noWrap/>
          </w:tcPr>
          <w:p w14:paraId="3044EE21">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企业所得税</w:t>
            </w:r>
          </w:p>
        </w:tc>
        <w:tc>
          <w:tcPr>
            <w:tcW w:w="1559" w:type="dxa"/>
            <w:tcBorders>
              <w:top w:val="single" w:color="auto" w:sz="4" w:space="0"/>
              <w:left w:val="single" w:color="auto" w:sz="4" w:space="0"/>
              <w:bottom w:val="single" w:color="auto" w:sz="4" w:space="0"/>
              <w:right w:val="single" w:color="auto" w:sz="4" w:space="0"/>
            </w:tcBorders>
            <w:noWrap/>
            <w:vAlign w:val="center"/>
          </w:tcPr>
          <w:p w14:paraId="5F70335E">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24</w:t>
            </w:r>
          </w:p>
        </w:tc>
        <w:tc>
          <w:tcPr>
            <w:tcW w:w="1843" w:type="dxa"/>
            <w:tcBorders>
              <w:top w:val="single" w:color="auto" w:sz="4" w:space="0"/>
              <w:left w:val="single" w:color="auto" w:sz="4" w:space="0"/>
              <w:bottom w:val="single" w:color="auto" w:sz="4" w:space="0"/>
              <w:right w:val="single" w:color="auto" w:sz="4" w:space="0"/>
            </w:tcBorders>
            <w:noWrap/>
            <w:vAlign w:val="center"/>
          </w:tcPr>
          <w:p w14:paraId="6E6F7825">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718</w:t>
            </w:r>
          </w:p>
        </w:tc>
        <w:tc>
          <w:tcPr>
            <w:tcW w:w="7537" w:type="dxa"/>
            <w:tcBorders>
              <w:top w:val="single" w:color="auto" w:sz="4" w:space="0"/>
              <w:left w:val="single" w:color="auto" w:sz="4" w:space="0"/>
              <w:bottom w:val="single" w:color="auto" w:sz="4" w:space="0"/>
              <w:right w:val="single" w:color="auto" w:sz="4" w:space="0"/>
            </w:tcBorders>
            <w:noWrap/>
            <w:vAlign w:val="center"/>
          </w:tcPr>
          <w:p w14:paraId="4561279D">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企业所得税税率为税前利润的25%</w:t>
            </w:r>
          </w:p>
        </w:tc>
      </w:tr>
      <w:tr w14:paraId="4EA9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2C1946A2">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六</w:t>
            </w:r>
          </w:p>
        </w:tc>
        <w:tc>
          <w:tcPr>
            <w:tcW w:w="2268" w:type="dxa"/>
            <w:tcBorders>
              <w:top w:val="single" w:color="auto" w:sz="4" w:space="0"/>
              <w:left w:val="single" w:color="auto" w:sz="4" w:space="0"/>
              <w:bottom w:val="single" w:color="auto" w:sz="4" w:space="0"/>
              <w:right w:val="single" w:color="auto" w:sz="4" w:space="0"/>
            </w:tcBorders>
            <w:noWrap/>
          </w:tcPr>
          <w:p w14:paraId="60B77091">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净利润</w:t>
            </w:r>
          </w:p>
        </w:tc>
        <w:tc>
          <w:tcPr>
            <w:tcW w:w="1559" w:type="dxa"/>
            <w:tcBorders>
              <w:top w:val="single" w:color="auto" w:sz="4" w:space="0"/>
              <w:left w:val="single" w:color="auto" w:sz="4" w:space="0"/>
              <w:bottom w:val="single" w:color="auto" w:sz="4" w:space="0"/>
              <w:right w:val="single" w:color="auto" w:sz="4" w:space="0"/>
            </w:tcBorders>
            <w:noWrap/>
            <w:vAlign w:val="center"/>
          </w:tcPr>
          <w:p w14:paraId="786661F5">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70</w:t>
            </w:r>
          </w:p>
        </w:tc>
        <w:tc>
          <w:tcPr>
            <w:tcW w:w="1843" w:type="dxa"/>
            <w:tcBorders>
              <w:top w:val="single" w:color="auto" w:sz="4" w:space="0"/>
              <w:left w:val="single" w:color="auto" w:sz="4" w:space="0"/>
              <w:bottom w:val="single" w:color="auto" w:sz="4" w:space="0"/>
              <w:right w:val="single" w:color="auto" w:sz="4" w:space="0"/>
            </w:tcBorders>
            <w:noWrap/>
            <w:vAlign w:val="center"/>
          </w:tcPr>
          <w:p w14:paraId="0AC8FACE">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2107</w:t>
            </w:r>
          </w:p>
        </w:tc>
        <w:tc>
          <w:tcPr>
            <w:tcW w:w="7537" w:type="dxa"/>
            <w:tcBorders>
              <w:top w:val="single" w:color="auto" w:sz="4" w:space="0"/>
              <w:left w:val="single" w:color="auto" w:sz="4" w:space="0"/>
              <w:bottom w:val="single" w:color="auto" w:sz="4" w:space="0"/>
              <w:right w:val="single" w:color="auto" w:sz="4" w:space="0"/>
            </w:tcBorders>
            <w:vAlign w:val="center"/>
          </w:tcPr>
          <w:p w14:paraId="5B4A5B9E">
            <w:pPr>
              <w:spacing w:line="276" w:lineRule="auto"/>
              <w:rPr>
                <w:rFonts w:ascii="仿宋_GB2312" w:hAnsi="宋体" w:eastAsia="仿宋_GB2312" w:cs="宋体"/>
                <w:b/>
                <w:bCs/>
                <w:color w:val="000000"/>
                <w:kern w:val="0"/>
                <w:szCs w:val="21"/>
              </w:rPr>
            </w:pPr>
          </w:p>
        </w:tc>
      </w:tr>
      <w:tr w14:paraId="40E4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2" w:type="dxa"/>
            <w:tcBorders>
              <w:top w:val="single" w:color="auto" w:sz="4" w:space="0"/>
              <w:left w:val="single" w:color="auto" w:sz="4" w:space="0"/>
              <w:bottom w:val="single" w:color="auto" w:sz="4" w:space="0"/>
              <w:right w:val="single" w:color="auto" w:sz="4" w:space="0"/>
            </w:tcBorders>
            <w:noWrap/>
          </w:tcPr>
          <w:p w14:paraId="5F14645E">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七</w:t>
            </w:r>
          </w:p>
        </w:tc>
        <w:tc>
          <w:tcPr>
            <w:tcW w:w="2268" w:type="dxa"/>
            <w:tcBorders>
              <w:top w:val="single" w:color="auto" w:sz="4" w:space="0"/>
              <w:left w:val="single" w:color="auto" w:sz="4" w:space="0"/>
              <w:bottom w:val="single" w:color="auto" w:sz="4" w:space="0"/>
              <w:right w:val="single" w:color="auto" w:sz="4" w:space="0"/>
            </w:tcBorders>
            <w:noWrap/>
          </w:tcPr>
          <w:p w14:paraId="2C5B59A5">
            <w:pPr>
              <w:widowControl/>
              <w:spacing w:line="276" w:lineRule="auto"/>
              <w:jc w:val="center"/>
              <w:rPr>
                <w:rFonts w:ascii="仿宋_GB2312" w:hAnsi="宋体" w:eastAsia="仿宋_GB2312" w:cs="宋体"/>
                <w:b/>
                <w:bCs/>
                <w:color w:val="000000"/>
                <w:kern w:val="0"/>
                <w:szCs w:val="21"/>
              </w:rPr>
            </w:pPr>
            <w:r>
              <w:rPr>
                <w:rFonts w:hint="eastAsia" w:ascii="仿宋_GB2312" w:eastAsia="仿宋_GB2312"/>
                <w:b/>
                <w:bCs/>
              </w:rPr>
              <w:t>政府应付污水处理服务费</w:t>
            </w:r>
          </w:p>
        </w:tc>
        <w:tc>
          <w:tcPr>
            <w:tcW w:w="1559" w:type="dxa"/>
            <w:tcBorders>
              <w:top w:val="single" w:color="auto" w:sz="4" w:space="0"/>
              <w:left w:val="single" w:color="auto" w:sz="4" w:space="0"/>
              <w:bottom w:val="single" w:color="auto" w:sz="4" w:space="0"/>
              <w:right w:val="single" w:color="auto" w:sz="4" w:space="0"/>
            </w:tcBorders>
            <w:noWrap/>
            <w:vAlign w:val="center"/>
          </w:tcPr>
          <w:p w14:paraId="478ACD35">
            <w:pPr>
              <w:widowControl/>
              <w:spacing w:line="276" w:lineRule="auto"/>
              <w:jc w:val="center"/>
              <w:rPr>
                <w:rFonts w:ascii="仿宋_GB2312" w:eastAsia="仿宋_GB2312"/>
                <w:b/>
                <w:bCs/>
              </w:rPr>
            </w:pPr>
            <w:r>
              <w:rPr>
                <w:rFonts w:hint="eastAsia" w:ascii="仿宋_GB2312" w:eastAsia="仿宋_GB2312"/>
                <w:b/>
                <w:bCs/>
              </w:rPr>
              <w:t>919</w:t>
            </w:r>
          </w:p>
        </w:tc>
        <w:tc>
          <w:tcPr>
            <w:tcW w:w="1843" w:type="dxa"/>
            <w:tcBorders>
              <w:top w:val="single" w:color="auto" w:sz="4" w:space="0"/>
              <w:left w:val="single" w:color="auto" w:sz="4" w:space="0"/>
              <w:bottom w:val="single" w:color="auto" w:sz="4" w:space="0"/>
              <w:right w:val="single" w:color="auto" w:sz="4" w:space="0"/>
            </w:tcBorders>
            <w:noWrap/>
            <w:vAlign w:val="center"/>
          </w:tcPr>
          <w:p w14:paraId="32EF41EC">
            <w:pPr>
              <w:widowControl/>
              <w:spacing w:line="276" w:lineRule="auto"/>
              <w:jc w:val="center"/>
              <w:rPr>
                <w:rFonts w:ascii="仿宋_GB2312" w:eastAsia="仿宋_GB2312"/>
                <w:b/>
                <w:bCs/>
              </w:rPr>
            </w:pPr>
            <w:r>
              <w:rPr>
                <w:rFonts w:hint="eastAsia" w:ascii="仿宋_GB2312" w:eastAsia="仿宋_GB2312"/>
                <w:b/>
                <w:bCs/>
              </w:rPr>
              <w:t>27570</w:t>
            </w:r>
          </w:p>
        </w:tc>
        <w:tc>
          <w:tcPr>
            <w:tcW w:w="7537" w:type="dxa"/>
            <w:tcBorders>
              <w:top w:val="single" w:color="auto" w:sz="4" w:space="0"/>
              <w:left w:val="single" w:color="auto" w:sz="4" w:space="0"/>
              <w:bottom w:val="single" w:color="auto" w:sz="4" w:space="0"/>
              <w:right w:val="single" w:color="auto" w:sz="4" w:space="0"/>
            </w:tcBorders>
            <w:vAlign w:val="center"/>
          </w:tcPr>
          <w:p w14:paraId="1FC0C225">
            <w:pPr>
              <w:widowControl/>
              <w:spacing w:line="276" w:lineRule="auto"/>
              <w:jc w:val="center"/>
              <w:rPr>
                <w:rFonts w:ascii="仿宋_GB2312" w:hAnsi="宋体" w:eastAsia="仿宋_GB2312" w:cs="宋体"/>
                <w:b/>
                <w:bCs/>
                <w:color w:val="000000"/>
                <w:kern w:val="0"/>
                <w:szCs w:val="21"/>
              </w:rPr>
            </w:pPr>
            <w:r>
              <w:rPr>
                <w:rFonts w:hint="eastAsia" w:ascii="仿宋_GB2312" w:hAnsi="宋体" w:eastAsia="仿宋_GB2312" w:cs="宋体"/>
                <w:b/>
                <w:color w:val="000000"/>
                <w:kern w:val="0"/>
                <w:sz w:val="24"/>
              </w:rPr>
              <w:t>本表第一、二、三、四项之和</w:t>
            </w:r>
          </w:p>
        </w:tc>
      </w:tr>
    </w:tbl>
    <w:p w14:paraId="519C82EB"/>
    <w:p w14:paraId="47AAF06D">
      <w:pPr>
        <w:pStyle w:val="17"/>
        <w:widowControl/>
        <w:shd w:val="clear" w:color="auto" w:fill="FFFFFF"/>
        <w:spacing w:beforeAutospacing="0" w:afterAutospacing="0"/>
        <w:ind w:firstLine="560" w:firstLineChars="200"/>
        <w:jc w:val="both"/>
        <w:outlineLvl w:val="1"/>
        <w:rPr>
          <w:rFonts w:ascii="Times New Roman Regular" w:hAnsi="Times New Roman Regular" w:eastAsia="仿宋_GB2312" w:cs="Times New Roman Regular"/>
          <w:b/>
          <w:bCs/>
          <w:color w:val="000000" w:themeColor="text1"/>
          <w:sz w:val="28"/>
          <w:szCs w:val="28"/>
          <w14:textFill>
            <w14:solidFill>
              <w14:schemeClr w14:val="tx1"/>
            </w14:solidFill>
          </w14:textFill>
        </w:rPr>
      </w:pPr>
    </w:p>
    <w:tbl>
      <w:tblPr>
        <w:tblStyle w:val="18"/>
        <w:tblW w:w="5300" w:type="dxa"/>
        <w:tblInd w:w="0" w:type="dxa"/>
        <w:tblLayout w:type="autofit"/>
        <w:tblCellMar>
          <w:top w:w="0" w:type="dxa"/>
          <w:left w:w="108" w:type="dxa"/>
          <w:bottom w:w="0" w:type="dxa"/>
          <w:right w:w="108" w:type="dxa"/>
        </w:tblCellMar>
      </w:tblPr>
      <w:tblGrid>
        <w:gridCol w:w="3860"/>
        <w:gridCol w:w="1440"/>
      </w:tblGrid>
      <w:tr w14:paraId="312B1A14">
        <w:tblPrEx>
          <w:tblCellMar>
            <w:top w:w="0" w:type="dxa"/>
            <w:left w:w="108" w:type="dxa"/>
            <w:bottom w:w="0" w:type="dxa"/>
            <w:right w:w="108" w:type="dxa"/>
          </w:tblCellMar>
        </w:tblPrEx>
        <w:trPr>
          <w:trHeight w:val="315" w:hRule="atLeast"/>
        </w:trPr>
        <w:tc>
          <w:tcPr>
            <w:tcW w:w="3860" w:type="dxa"/>
            <w:tcBorders>
              <w:top w:val="single" w:color="auto" w:sz="4" w:space="0"/>
              <w:left w:val="single" w:color="auto" w:sz="4" w:space="0"/>
              <w:bottom w:val="single" w:color="auto" w:sz="4" w:space="0"/>
              <w:right w:val="single" w:color="auto" w:sz="4" w:space="0"/>
            </w:tcBorders>
            <w:noWrap/>
            <w:vAlign w:val="bottom"/>
          </w:tcPr>
          <w:p w14:paraId="35231694">
            <w:pPr>
              <w:widowControl/>
              <w:spacing w:line="276" w:lineRule="auto"/>
              <w:jc w:val="left"/>
              <w:rPr>
                <w:rFonts w:ascii="仿宋_GB2312" w:eastAsia="仿宋_GB2312" w:cstheme="minorHAnsi"/>
                <w:b/>
                <w:bCs/>
                <w:color w:val="000000"/>
                <w:kern w:val="0"/>
                <w:sz w:val="24"/>
              </w:rPr>
            </w:pPr>
            <w:r>
              <w:rPr>
                <w:rFonts w:hint="eastAsia" w:ascii="仿宋_GB2312" w:eastAsia="仿宋_GB2312" w:cstheme="minorHAnsi"/>
                <w:b/>
                <w:bCs/>
                <w:color w:val="000000"/>
                <w:kern w:val="0"/>
                <w:sz w:val="24"/>
              </w:rPr>
              <w:t>所得税前：</w:t>
            </w:r>
          </w:p>
        </w:tc>
        <w:tc>
          <w:tcPr>
            <w:tcW w:w="1440" w:type="dxa"/>
            <w:tcBorders>
              <w:top w:val="single" w:color="auto" w:sz="4" w:space="0"/>
              <w:left w:val="nil"/>
              <w:bottom w:val="single" w:color="auto" w:sz="4" w:space="0"/>
              <w:right w:val="single" w:color="auto" w:sz="4" w:space="0"/>
            </w:tcBorders>
            <w:noWrap/>
            <w:vAlign w:val="bottom"/>
          </w:tcPr>
          <w:p w14:paraId="1E25F4C0">
            <w:pPr>
              <w:widowControl/>
              <w:spacing w:line="276" w:lineRule="auto"/>
              <w:jc w:val="center"/>
              <w:rPr>
                <w:rFonts w:ascii="仿宋_GB2312" w:eastAsia="仿宋_GB2312" w:cstheme="minorHAnsi"/>
                <w:color w:val="000000"/>
                <w:kern w:val="0"/>
                <w:sz w:val="24"/>
              </w:rPr>
            </w:pPr>
            <w:r>
              <w:rPr>
                <w:rFonts w:hint="eastAsia" w:ascii="仿宋_GB2312" w:eastAsia="仿宋_GB2312" w:cstheme="minorHAnsi"/>
                <w:color w:val="000000"/>
                <w:kern w:val="0"/>
                <w:sz w:val="24"/>
              </w:rPr>
              <w:t>　</w:t>
            </w:r>
          </w:p>
        </w:tc>
      </w:tr>
      <w:tr w14:paraId="3F22F538">
        <w:tblPrEx>
          <w:tblCellMar>
            <w:top w:w="0" w:type="dxa"/>
            <w:left w:w="108" w:type="dxa"/>
            <w:bottom w:w="0" w:type="dxa"/>
            <w:right w:w="108" w:type="dxa"/>
          </w:tblCellMar>
        </w:tblPrEx>
        <w:trPr>
          <w:trHeight w:val="300" w:hRule="atLeast"/>
        </w:trPr>
        <w:tc>
          <w:tcPr>
            <w:tcW w:w="3860" w:type="dxa"/>
            <w:tcBorders>
              <w:top w:val="single" w:color="auto" w:sz="4" w:space="0"/>
              <w:left w:val="single" w:color="auto" w:sz="4" w:space="0"/>
              <w:bottom w:val="single" w:color="auto" w:sz="4" w:space="0"/>
              <w:right w:val="single" w:color="auto" w:sz="4" w:space="0"/>
            </w:tcBorders>
            <w:noWrap/>
            <w:vAlign w:val="center"/>
          </w:tcPr>
          <w:p w14:paraId="5D94512C">
            <w:pPr>
              <w:widowControl/>
              <w:spacing w:line="276" w:lineRule="auto"/>
              <w:jc w:val="left"/>
              <w:rPr>
                <w:rFonts w:ascii="仿宋_GB2312" w:eastAsia="仿宋_GB2312" w:cstheme="minorHAnsi"/>
                <w:color w:val="000000"/>
                <w:kern w:val="0"/>
                <w:sz w:val="24"/>
              </w:rPr>
            </w:pPr>
            <w:r>
              <w:rPr>
                <w:rFonts w:hint="eastAsia" w:ascii="仿宋_GB2312" w:eastAsia="仿宋_GB2312" w:cstheme="minorHAnsi"/>
                <w:color w:val="000000"/>
                <w:kern w:val="0"/>
                <w:sz w:val="24"/>
              </w:rPr>
              <w:t>项目投资财务内部收益率：</w:t>
            </w:r>
          </w:p>
        </w:tc>
        <w:tc>
          <w:tcPr>
            <w:tcW w:w="1440" w:type="dxa"/>
            <w:tcBorders>
              <w:top w:val="nil"/>
              <w:left w:val="nil"/>
              <w:bottom w:val="single" w:color="auto" w:sz="4" w:space="0"/>
              <w:right w:val="single" w:color="auto" w:sz="4" w:space="0"/>
            </w:tcBorders>
            <w:noWrap/>
            <w:vAlign w:val="bottom"/>
          </w:tcPr>
          <w:p w14:paraId="1DFAF202">
            <w:pPr>
              <w:widowControl/>
              <w:spacing w:line="276" w:lineRule="auto"/>
              <w:jc w:val="center"/>
              <w:rPr>
                <w:rFonts w:ascii="仿宋_GB2312" w:eastAsia="仿宋_GB2312" w:cstheme="minorHAnsi"/>
                <w:color w:val="000000"/>
                <w:kern w:val="0"/>
                <w:sz w:val="24"/>
              </w:rPr>
            </w:pPr>
            <w:r>
              <w:rPr>
                <w:rFonts w:hint="eastAsia" w:ascii="仿宋_GB2312" w:eastAsia="仿宋_GB2312" w:cstheme="minorHAnsi"/>
                <w:color w:val="000000"/>
                <w:kern w:val="0"/>
                <w:sz w:val="24"/>
              </w:rPr>
              <w:t>4.5%</w:t>
            </w:r>
          </w:p>
        </w:tc>
      </w:tr>
      <w:tr w14:paraId="36827C6C">
        <w:tblPrEx>
          <w:tblCellMar>
            <w:top w:w="0" w:type="dxa"/>
            <w:left w:w="108" w:type="dxa"/>
            <w:bottom w:w="0" w:type="dxa"/>
            <w:right w:w="108" w:type="dxa"/>
          </w:tblCellMar>
        </w:tblPrEx>
        <w:trPr>
          <w:trHeight w:val="300" w:hRule="atLeast"/>
        </w:trPr>
        <w:tc>
          <w:tcPr>
            <w:tcW w:w="3860" w:type="dxa"/>
            <w:tcBorders>
              <w:top w:val="single" w:color="auto" w:sz="4" w:space="0"/>
              <w:left w:val="single" w:color="auto" w:sz="4" w:space="0"/>
              <w:bottom w:val="single" w:color="auto" w:sz="4" w:space="0"/>
              <w:right w:val="single" w:color="auto" w:sz="4" w:space="0"/>
            </w:tcBorders>
            <w:noWrap/>
            <w:vAlign w:val="center"/>
          </w:tcPr>
          <w:p w14:paraId="3B262B8D">
            <w:pPr>
              <w:widowControl/>
              <w:spacing w:line="276" w:lineRule="auto"/>
              <w:jc w:val="left"/>
              <w:rPr>
                <w:rFonts w:ascii="仿宋_GB2312" w:eastAsia="仿宋_GB2312" w:cstheme="minorHAnsi"/>
                <w:color w:val="000000"/>
                <w:kern w:val="0"/>
                <w:sz w:val="24"/>
              </w:rPr>
            </w:pPr>
            <w:r>
              <w:rPr>
                <w:rFonts w:hint="eastAsia" w:ascii="仿宋_GB2312" w:eastAsia="仿宋_GB2312" w:cstheme="minorHAnsi"/>
                <w:color w:val="000000"/>
                <w:kern w:val="0"/>
                <w:sz w:val="24"/>
              </w:rPr>
              <w:t>项目静态投资回收期</w:t>
            </w:r>
          </w:p>
        </w:tc>
        <w:tc>
          <w:tcPr>
            <w:tcW w:w="1440" w:type="dxa"/>
            <w:tcBorders>
              <w:top w:val="nil"/>
              <w:left w:val="nil"/>
              <w:bottom w:val="single" w:color="auto" w:sz="4" w:space="0"/>
              <w:right w:val="single" w:color="auto" w:sz="4" w:space="0"/>
            </w:tcBorders>
            <w:noWrap/>
            <w:vAlign w:val="bottom"/>
          </w:tcPr>
          <w:p w14:paraId="4261A1A1">
            <w:pPr>
              <w:widowControl/>
              <w:spacing w:line="276" w:lineRule="auto"/>
              <w:jc w:val="center"/>
              <w:rPr>
                <w:rFonts w:ascii="仿宋_GB2312" w:eastAsia="仿宋_GB2312" w:cstheme="minorHAnsi"/>
                <w:color w:val="000000"/>
                <w:kern w:val="0"/>
                <w:sz w:val="24"/>
              </w:rPr>
            </w:pPr>
            <w:r>
              <w:rPr>
                <w:rFonts w:hint="eastAsia" w:ascii="仿宋_GB2312" w:eastAsia="仿宋_GB2312" w:cstheme="minorHAnsi"/>
                <w:color w:val="000000"/>
                <w:sz w:val="24"/>
              </w:rPr>
              <w:t>16.9年</w:t>
            </w:r>
          </w:p>
        </w:tc>
      </w:tr>
      <w:tr w14:paraId="7E747E07">
        <w:tblPrEx>
          <w:tblCellMar>
            <w:top w:w="0" w:type="dxa"/>
            <w:left w:w="108" w:type="dxa"/>
            <w:bottom w:w="0" w:type="dxa"/>
            <w:right w:w="108" w:type="dxa"/>
          </w:tblCellMar>
        </w:tblPrEx>
        <w:trPr>
          <w:trHeight w:val="315" w:hRule="atLeast"/>
        </w:trPr>
        <w:tc>
          <w:tcPr>
            <w:tcW w:w="3860" w:type="dxa"/>
            <w:tcBorders>
              <w:top w:val="single" w:color="auto" w:sz="4" w:space="0"/>
              <w:left w:val="single" w:color="auto" w:sz="4" w:space="0"/>
              <w:bottom w:val="single" w:color="auto" w:sz="4" w:space="0"/>
              <w:right w:val="single" w:color="auto" w:sz="4" w:space="0"/>
            </w:tcBorders>
            <w:noWrap/>
            <w:vAlign w:val="bottom"/>
          </w:tcPr>
          <w:p w14:paraId="46EC1A65">
            <w:pPr>
              <w:widowControl/>
              <w:spacing w:line="276" w:lineRule="auto"/>
              <w:jc w:val="left"/>
              <w:rPr>
                <w:rFonts w:ascii="仿宋_GB2312" w:eastAsia="仿宋_GB2312" w:cstheme="minorHAnsi"/>
                <w:b/>
                <w:bCs/>
                <w:color w:val="000000"/>
                <w:kern w:val="0"/>
                <w:sz w:val="24"/>
              </w:rPr>
            </w:pPr>
            <w:r>
              <w:rPr>
                <w:rFonts w:hint="eastAsia" w:ascii="仿宋_GB2312" w:eastAsia="仿宋_GB2312" w:cstheme="minorHAnsi"/>
                <w:b/>
                <w:bCs/>
                <w:color w:val="000000"/>
                <w:kern w:val="0"/>
                <w:sz w:val="24"/>
              </w:rPr>
              <w:t>所得税后：</w:t>
            </w:r>
          </w:p>
        </w:tc>
        <w:tc>
          <w:tcPr>
            <w:tcW w:w="1440" w:type="dxa"/>
            <w:tcBorders>
              <w:top w:val="single" w:color="auto" w:sz="4" w:space="0"/>
              <w:left w:val="nil"/>
              <w:bottom w:val="single" w:color="auto" w:sz="4" w:space="0"/>
              <w:right w:val="single" w:color="auto" w:sz="4" w:space="0"/>
            </w:tcBorders>
            <w:noWrap/>
            <w:vAlign w:val="bottom"/>
          </w:tcPr>
          <w:p w14:paraId="6ABD6264">
            <w:pPr>
              <w:widowControl/>
              <w:spacing w:line="276" w:lineRule="auto"/>
              <w:jc w:val="center"/>
              <w:rPr>
                <w:rFonts w:ascii="仿宋_GB2312" w:eastAsia="仿宋_GB2312" w:cstheme="minorHAnsi"/>
                <w:color w:val="000000"/>
                <w:kern w:val="0"/>
                <w:sz w:val="24"/>
              </w:rPr>
            </w:pPr>
            <w:r>
              <w:rPr>
                <w:rFonts w:hint="eastAsia" w:ascii="仿宋_GB2312" w:eastAsia="仿宋_GB2312" w:cstheme="minorHAnsi"/>
                <w:color w:val="000000"/>
                <w:kern w:val="0"/>
                <w:sz w:val="24"/>
              </w:rPr>
              <w:t>　</w:t>
            </w:r>
          </w:p>
        </w:tc>
      </w:tr>
      <w:tr w14:paraId="1FAED9D3">
        <w:tblPrEx>
          <w:tblCellMar>
            <w:top w:w="0" w:type="dxa"/>
            <w:left w:w="108" w:type="dxa"/>
            <w:bottom w:w="0" w:type="dxa"/>
            <w:right w:w="108" w:type="dxa"/>
          </w:tblCellMar>
        </w:tblPrEx>
        <w:trPr>
          <w:trHeight w:val="300" w:hRule="atLeast"/>
        </w:trPr>
        <w:tc>
          <w:tcPr>
            <w:tcW w:w="3860" w:type="dxa"/>
            <w:tcBorders>
              <w:top w:val="single" w:color="auto" w:sz="4" w:space="0"/>
              <w:left w:val="single" w:color="auto" w:sz="4" w:space="0"/>
              <w:bottom w:val="single" w:color="auto" w:sz="4" w:space="0"/>
              <w:right w:val="single" w:color="auto" w:sz="4" w:space="0"/>
            </w:tcBorders>
            <w:noWrap/>
            <w:vAlign w:val="center"/>
          </w:tcPr>
          <w:p w14:paraId="5613BB5E">
            <w:pPr>
              <w:widowControl/>
              <w:spacing w:line="276" w:lineRule="auto"/>
              <w:jc w:val="left"/>
              <w:rPr>
                <w:rFonts w:ascii="仿宋_GB2312" w:eastAsia="仿宋_GB2312" w:cstheme="minorHAnsi"/>
                <w:color w:val="000000"/>
                <w:kern w:val="0"/>
                <w:sz w:val="24"/>
              </w:rPr>
            </w:pPr>
            <w:r>
              <w:rPr>
                <w:rFonts w:hint="eastAsia" w:ascii="仿宋_GB2312" w:eastAsia="仿宋_GB2312" w:cstheme="minorHAnsi"/>
                <w:color w:val="000000"/>
                <w:kern w:val="0"/>
                <w:sz w:val="24"/>
              </w:rPr>
              <w:t>项目投资财务内部收益率：</w:t>
            </w:r>
          </w:p>
        </w:tc>
        <w:tc>
          <w:tcPr>
            <w:tcW w:w="1440" w:type="dxa"/>
            <w:tcBorders>
              <w:top w:val="nil"/>
              <w:left w:val="nil"/>
              <w:bottom w:val="single" w:color="auto" w:sz="4" w:space="0"/>
              <w:right w:val="single" w:color="auto" w:sz="4" w:space="0"/>
            </w:tcBorders>
            <w:noWrap/>
            <w:vAlign w:val="bottom"/>
          </w:tcPr>
          <w:p w14:paraId="4E07E37C">
            <w:pPr>
              <w:widowControl/>
              <w:spacing w:line="276" w:lineRule="auto"/>
              <w:jc w:val="center"/>
              <w:rPr>
                <w:rFonts w:ascii="仿宋_GB2312" w:eastAsia="仿宋_GB2312" w:cstheme="minorHAnsi"/>
                <w:color w:val="000000"/>
                <w:kern w:val="0"/>
                <w:sz w:val="24"/>
              </w:rPr>
            </w:pPr>
            <w:r>
              <w:rPr>
                <w:rFonts w:hint="eastAsia" w:ascii="仿宋_GB2312" w:eastAsia="仿宋_GB2312" w:cstheme="minorHAnsi"/>
                <w:color w:val="000000"/>
                <w:sz w:val="24"/>
              </w:rPr>
              <w:t>3.7%</w:t>
            </w:r>
          </w:p>
        </w:tc>
      </w:tr>
      <w:tr w14:paraId="4ECF8233">
        <w:tblPrEx>
          <w:tblCellMar>
            <w:top w:w="0" w:type="dxa"/>
            <w:left w:w="108" w:type="dxa"/>
            <w:bottom w:w="0" w:type="dxa"/>
            <w:right w:w="108" w:type="dxa"/>
          </w:tblCellMar>
        </w:tblPrEx>
        <w:trPr>
          <w:trHeight w:val="300" w:hRule="atLeast"/>
        </w:trPr>
        <w:tc>
          <w:tcPr>
            <w:tcW w:w="3860" w:type="dxa"/>
            <w:tcBorders>
              <w:top w:val="single" w:color="auto" w:sz="4" w:space="0"/>
              <w:left w:val="single" w:color="auto" w:sz="4" w:space="0"/>
              <w:bottom w:val="single" w:color="auto" w:sz="4" w:space="0"/>
              <w:right w:val="single" w:color="auto" w:sz="4" w:space="0"/>
            </w:tcBorders>
            <w:noWrap/>
            <w:vAlign w:val="center"/>
          </w:tcPr>
          <w:p w14:paraId="6DEDE4DA">
            <w:pPr>
              <w:widowControl/>
              <w:spacing w:line="276" w:lineRule="auto"/>
              <w:jc w:val="left"/>
              <w:rPr>
                <w:rFonts w:ascii="仿宋_GB2312" w:eastAsia="仿宋_GB2312" w:cstheme="minorHAnsi"/>
                <w:color w:val="000000"/>
                <w:kern w:val="0"/>
                <w:sz w:val="24"/>
              </w:rPr>
            </w:pPr>
            <w:r>
              <w:rPr>
                <w:rFonts w:hint="eastAsia" w:ascii="仿宋_GB2312" w:eastAsia="仿宋_GB2312" w:cstheme="minorHAnsi"/>
                <w:color w:val="000000"/>
                <w:kern w:val="0"/>
                <w:sz w:val="24"/>
              </w:rPr>
              <w:t>项目资本金内部收益率</w:t>
            </w:r>
          </w:p>
        </w:tc>
        <w:tc>
          <w:tcPr>
            <w:tcW w:w="1440" w:type="dxa"/>
            <w:tcBorders>
              <w:top w:val="nil"/>
              <w:left w:val="nil"/>
              <w:bottom w:val="single" w:color="auto" w:sz="4" w:space="0"/>
              <w:right w:val="single" w:color="auto" w:sz="4" w:space="0"/>
            </w:tcBorders>
            <w:noWrap/>
            <w:vAlign w:val="bottom"/>
          </w:tcPr>
          <w:p w14:paraId="5A717CD9">
            <w:pPr>
              <w:widowControl/>
              <w:spacing w:line="276" w:lineRule="auto"/>
              <w:jc w:val="center"/>
              <w:rPr>
                <w:rFonts w:ascii="仿宋_GB2312" w:eastAsia="仿宋_GB2312" w:cstheme="minorHAnsi"/>
                <w:color w:val="000000"/>
                <w:sz w:val="24"/>
              </w:rPr>
            </w:pPr>
            <w:r>
              <w:rPr>
                <w:rFonts w:hint="eastAsia" w:ascii="仿宋_GB2312" w:eastAsia="仿宋_GB2312" w:cstheme="minorHAnsi"/>
                <w:color w:val="000000"/>
                <w:sz w:val="24"/>
              </w:rPr>
              <w:t>6.0%</w:t>
            </w:r>
          </w:p>
        </w:tc>
      </w:tr>
      <w:tr w14:paraId="234BA064">
        <w:tblPrEx>
          <w:tblCellMar>
            <w:top w:w="0" w:type="dxa"/>
            <w:left w:w="108" w:type="dxa"/>
            <w:bottom w:w="0" w:type="dxa"/>
            <w:right w:w="108" w:type="dxa"/>
          </w:tblCellMar>
        </w:tblPrEx>
        <w:trPr>
          <w:trHeight w:val="300" w:hRule="atLeast"/>
        </w:trPr>
        <w:tc>
          <w:tcPr>
            <w:tcW w:w="3860" w:type="dxa"/>
            <w:tcBorders>
              <w:top w:val="single" w:color="auto" w:sz="4" w:space="0"/>
              <w:left w:val="single" w:color="auto" w:sz="4" w:space="0"/>
              <w:bottom w:val="single" w:color="auto" w:sz="4" w:space="0"/>
              <w:right w:val="single" w:color="auto" w:sz="4" w:space="0"/>
            </w:tcBorders>
            <w:noWrap/>
            <w:vAlign w:val="center"/>
          </w:tcPr>
          <w:p w14:paraId="11E73BF6">
            <w:pPr>
              <w:widowControl/>
              <w:spacing w:line="276" w:lineRule="auto"/>
              <w:jc w:val="left"/>
              <w:rPr>
                <w:rFonts w:ascii="仿宋_GB2312" w:eastAsia="仿宋_GB2312" w:cstheme="minorHAnsi"/>
                <w:color w:val="000000"/>
                <w:kern w:val="0"/>
                <w:sz w:val="24"/>
              </w:rPr>
            </w:pPr>
            <w:r>
              <w:rPr>
                <w:rFonts w:hint="eastAsia" w:ascii="仿宋_GB2312" w:eastAsia="仿宋_GB2312" w:cstheme="minorHAnsi"/>
                <w:color w:val="000000"/>
                <w:kern w:val="0"/>
                <w:sz w:val="24"/>
              </w:rPr>
              <w:t>项目静态投资回收期</w:t>
            </w:r>
          </w:p>
        </w:tc>
        <w:tc>
          <w:tcPr>
            <w:tcW w:w="1440" w:type="dxa"/>
            <w:tcBorders>
              <w:top w:val="nil"/>
              <w:left w:val="nil"/>
              <w:bottom w:val="single" w:color="auto" w:sz="4" w:space="0"/>
              <w:right w:val="single" w:color="auto" w:sz="4" w:space="0"/>
            </w:tcBorders>
            <w:noWrap/>
            <w:vAlign w:val="bottom"/>
          </w:tcPr>
          <w:p w14:paraId="6EF40AB4">
            <w:pPr>
              <w:widowControl/>
              <w:spacing w:line="276" w:lineRule="auto"/>
              <w:jc w:val="center"/>
              <w:rPr>
                <w:rFonts w:ascii="仿宋_GB2312" w:eastAsia="仿宋_GB2312" w:cstheme="minorHAnsi"/>
                <w:color w:val="000000"/>
                <w:kern w:val="0"/>
                <w:sz w:val="24"/>
              </w:rPr>
            </w:pPr>
            <w:r>
              <w:rPr>
                <w:rFonts w:hint="eastAsia" w:ascii="仿宋_GB2312" w:eastAsia="仿宋_GB2312" w:cstheme="minorHAnsi"/>
                <w:color w:val="000000"/>
                <w:sz w:val="24"/>
              </w:rPr>
              <w:t>18.4年</w:t>
            </w:r>
          </w:p>
        </w:tc>
      </w:tr>
    </w:tbl>
    <w:p w14:paraId="0068F30C">
      <w:pPr>
        <w:pStyle w:val="2"/>
        <w:jc w:val="both"/>
        <w:sectPr>
          <w:pgSz w:w="16838" w:h="11906" w:orient="landscape"/>
          <w:pgMar w:top="1797" w:right="1440" w:bottom="1797" w:left="1440" w:header="851" w:footer="992" w:gutter="0"/>
          <w:cols w:space="425" w:num="1"/>
          <w:docGrid w:type="linesAndChars" w:linePitch="312" w:charSpace="0"/>
        </w:sectPr>
      </w:pPr>
    </w:p>
    <w:p w14:paraId="27966623">
      <w:pPr>
        <w:rPr>
          <w:color w:val="000000" w:themeColor="text1"/>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 New Roman Regular">
    <w:altName w:val="Times New Roman"/>
    <w:panose1 w:val="00000000000000000000"/>
    <w:charset w:val="00"/>
    <w:family w:val="auto"/>
    <w:pitch w:val="default"/>
    <w:sig w:usb0="00000000" w:usb1="00000000"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宋体"/>
    <w:panose1 w:val="02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icrosoft Yi Baiti">
    <w:panose1 w:val="03000500000000000000"/>
    <w:charset w:val="00"/>
    <w:family w:val="script"/>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F26BD">
    <w:pPr>
      <w:pStyle w:val="12"/>
    </w:pPr>
    <w:r>
      <mc:AlternateContent>
        <mc:Choice Requires="wps">
          <w:drawing>
            <wp:anchor distT="0" distB="0" distL="114300" distR="114300" simplePos="0" relativeHeight="251659264" behindDoc="0" locked="0" layoutInCell="1" allowOverlap="1">
              <wp:simplePos x="0" y="0"/>
              <wp:positionH relativeFrom="margin">
                <wp:posOffset>2891155</wp:posOffset>
              </wp:positionH>
              <wp:positionV relativeFrom="paragraph">
                <wp:posOffset>2540</wp:posOffset>
              </wp:positionV>
              <wp:extent cx="276225" cy="186055"/>
              <wp:effectExtent l="0" t="0" r="9525" b="5080"/>
              <wp:wrapNone/>
              <wp:docPr id="3" name="文本框 3"/>
              <wp:cNvGraphicFramePr/>
              <a:graphic xmlns:a="http://schemas.openxmlformats.org/drawingml/2006/main">
                <a:graphicData uri="http://schemas.microsoft.com/office/word/2010/wordprocessingShape">
                  <wps:wsp>
                    <wps:cNvSpPr txBox="1"/>
                    <wps:spPr>
                      <a:xfrm>
                        <a:off x="0" y="0"/>
                        <a:ext cx="276225" cy="18573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C3189">
                          <w:pPr>
                            <w:pStyle w:val="12"/>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7.65pt;margin-top:0.2pt;height:14.65pt;width:21.75pt;mso-position-horizontal-relative:margin;z-index:251659264;mso-width-relative:page;mso-height-relative:page;" filled="f" stroked="f" coordsize="21600,21600" o:gfxdata="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eObQ9cAAAAHAQAADwAAAAAAAAABACAAAAAiAAAAZHJzL2Rvd25yZXYueG1s&#10;UEsBAhQAFAAAAAgAh07iQP5Tw1EyAgAAVQQAAA4AAAAAAAAAAQAgAAAAJgEAAGRycy9lMm9Eb2Mu&#10;eG1sUEsFBgAAAAAGAAYAWQEAAMoFAAAAAA==&#10;">
              <v:fill on="f" focussize="0,0"/>
              <v:stroke on="f" weight="0.5pt"/>
              <v:imagedata o:title=""/>
              <o:lock v:ext="edit" aspectratio="f"/>
              <v:textbox inset="0mm,0mm,0mm,0mm">
                <w:txbxContent>
                  <w:p w14:paraId="2ADC3189">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830763"/>
      <w:docPartObj>
        <w:docPartGallery w:val="autotext"/>
      </w:docPartObj>
    </w:sdtPr>
    <w:sdtContent>
      <w:p w14:paraId="20E585BC">
        <w:pPr>
          <w:pStyle w:val="12"/>
          <w:jc w:val="center"/>
        </w:pPr>
        <w:r>
          <w:fldChar w:fldCharType="begin"/>
        </w:r>
        <w:r>
          <w:instrText xml:space="preserve">PAGE   \* MERGEFORMAT</w:instrText>
        </w:r>
        <w:r>
          <w:fldChar w:fldCharType="separate"/>
        </w:r>
        <w:r>
          <w:rPr>
            <w:lang w:val="zh-CN"/>
          </w:rPr>
          <w:t>2</w:t>
        </w:r>
        <w:r>
          <w:fldChar w:fldCharType="end"/>
        </w:r>
      </w:p>
    </w:sdtContent>
  </w:sdt>
  <w:p w14:paraId="77801D5D">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965F2"/>
    <w:multiLevelType w:val="multilevel"/>
    <w:tmpl w:val="22A965F2"/>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
    <w:nsid w:val="63A03007"/>
    <w:multiLevelType w:val="multilevel"/>
    <w:tmpl w:val="63A0300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GE2M2M1YmRhYzMxYzRlZTVmZDUyYjE0ZjUzOTAifQ=="/>
  </w:docVars>
  <w:rsids>
    <w:rsidRoot w:val="42F54BE7"/>
    <w:rsid w:val="000010F9"/>
    <w:rsid w:val="00004F1D"/>
    <w:rsid w:val="00005B63"/>
    <w:rsid w:val="00005B8B"/>
    <w:rsid w:val="00006F47"/>
    <w:rsid w:val="0000704F"/>
    <w:rsid w:val="00015508"/>
    <w:rsid w:val="000305D3"/>
    <w:rsid w:val="000315D5"/>
    <w:rsid w:val="00034026"/>
    <w:rsid w:val="00036EA9"/>
    <w:rsid w:val="00051AE6"/>
    <w:rsid w:val="00051D82"/>
    <w:rsid w:val="00086391"/>
    <w:rsid w:val="00087400"/>
    <w:rsid w:val="00090F86"/>
    <w:rsid w:val="000968F4"/>
    <w:rsid w:val="000B0BBE"/>
    <w:rsid w:val="000B7B70"/>
    <w:rsid w:val="000C36DD"/>
    <w:rsid w:val="000C36F8"/>
    <w:rsid w:val="000C520F"/>
    <w:rsid w:val="000C5E4F"/>
    <w:rsid w:val="000D48EF"/>
    <w:rsid w:val="000D5BCE"/>
    <w:rsid w:val="000F26DD"/>
    <w:rsid w:val="000F3944"/>
    <w:rsid w:val="000F7E03"/>
    <w:rsid w:val="000F7E39"/>
    <w:rsid w:val="00103993"/>
    <w:rsid w:val="00107B54"/>
    <w:rsid w:val="0012008D"/>
    <w:rsid w:val="00122732"/>
    <w:rsid w:val="00135AC6"/>
    <w:rsid w:val="001454FF"/>
    <w:rsid w:val="00153A0A"/>
    <w:rsid w:val="00161F07"/>
    <w:rsid w:val="001767DD"/>
    <w:rsid w:val="00176EBA"/>
    <w:rsid w:val="00185FEE"/>
    <w:rsid w:val="001917EF"/>
    <w:rsid w:val="001A4F6E"/>
    <w:rsid w:val="001B4905"/>
    <w:rsid w:val="001D0CDF"/>
    <w:rsid w:val="001D0F8A"/>
    <w:rsid w:val="001D29AF"/>
    <w:rsid w:val="001D7838"/>
    <w:rsid w:val="001F144F"/>
    <w:rsid w:val="001F2B64"/>
    <w:rsid w:val="001F4480"/>
    <w:rsid w:val="001F5C23"/>
    <w:rsid w:val="001F7447"/>
    <w:rsid w:val="00210552"/>
    <w:rsid w:val="0021517F"/>
    <w:rsid w:val="00216E09"/>
    <w:rsid w:val="002178E0"/>
    <w:rsid w:val="00220651"/>
    <w:rsid w:val="00222ABE"/>
    <w:rsid w:val="00231C0A"/>
    <w:rsid w:val="002324A9"/>
    <w:rsid w:val="00242BF2"/>
    <w:rsid w:val="00246455"/>
    <w:rsid w:val="00261497"/>
    <w:rsid w:val="00264F17"/>
    <w:rsid w:val="002711F0"/>
    <w:rsid w:val="002763B5"/>
    <w:rsid w:val="002832D2"/>
    <w:rsid w:val="002835AF"/>
    <w:rsid w:val="00290CDD"/>
    <w:rsid w:val="002970B9"/>
    <w:rsid w:val="002B3A31"/>
    <w:rsid w:val="002C1898"/>
    <w:rsid w:val="002C3473"/>
    <w:rsid w:val="002E4F41"/>
    <w:rsid w:val="002E71DA"/>
    <w:rsid w:val="002F3579"/>
    <w:rsid w:val="002F3FC1"/>
    <w:rsid w:val="0031180B"/>
    <w:rsid w:val="00315560"/>
    <w:rsid w:val="00316296"/>
    <w:rsid w:val="00325507"/>
    <w:rsid w:val="00330B7A"/>
    <w:rsid w:val="003337E7"/>
    <w:rsid w:val="0035113C"/>
    <w:rsid w:val="00355589"/>
    <w:rsid w:val="00356850"/>
    <w:rsid w:val="00357A8B"/>
    <w:rsid w:val="00365802"/>
    <w:rsid w:val="003718F0"/>
    <w:rsid w:val="0038717E"/>
    <w:rsid w:val="003A405A"/>
    <w:rsid w:val="003A48F3"/>
    <w:rsid w:val="003B7668"/>
    <w:rsid w:val="003F15A7"/>
    <w:rsid w:val="003F4AA0"/>
    <w:rsid w:val="003F6713"/>
    <w:rsid w:val="00404C2C"/>
    <w:rsid w:val="00406211"/>
    <w:rsid w:val="0041238C"/>
    <w:rsid w:val="00412ABC"/>
    <w:rsid w:val="00412DA9"/>
    <w:rsid w:val="0042375B"/>
    <w:rsid w:val="004311BE"/>
    <w:rsid w:val="0043276C"/>
    <w:rsid w:val="004475E6"/>
    <w:rsid w:val="00453F6A"/>
    <w:rsid w:val="00455ACD"/>
    <w:rsid w:val="0046132A"/>
    <w:rsid w:val="00474D51"/>
    <w:rsid w:val="00481CA6"/>
    <w:rsid w:val="00495AC6"/>
    <w:rsid w:val="00497D87"/>
    <w:rsid w:val="004A0232"/>
    <w:rsid w:val="004A4170"/>
    <w:rsid w:val="004B1F68"/>
    <w:rsid w:val="004B2B21"/>
    <w:rsid w:val="004B57D2"/>
    <w:rsid w:val="004B5A24"/>
    <w:rsid w:val="004C08AE"/>
    <w:rsid w:val="004C6C21"/>
    <w:rsid w:val="004D29C5"/>
    <w:rsid w:val="004D5986"/>
    <w:rsid w:val="004D59D2"/>
    <w:rsid w:val="004D60C3"/>
    <w:rsid w:val="004E2AB3"/>
    <w:rsid w:val="004F09BC"/>
    <w:rsid w:val="004F1FAD"/>
    <w:rsid w:val="0050457A"/>
    <w:rsid w:val="0050490E"/>
    <w:rsid w:val="00506195"/>
    <w:rsid w:val="0050695E"/>
    <w:rsid w:val="00511AF3"/>
    <w:rsid w:val="00513596"/>
    <w:rsid w:val="00513AFA"/>
    <w:rsid w:val="00524AA8"/>
    <w:rsid w:val="00535E33"/>
    <w:rsid w:val="00537984"/>
    <w:rsid w:val="00555383"/>
    <w:rsid w:val="00556BEA"/>
    <w:rsid w:val="00560B13"/>
    <w:rsid w:val="00563155"/>
    <w:rsid w:val="00563BB0"/>
    <w:rsid w:val="005745EB"/>
    <w:rsid w:val="00583A41"/>
    <w:rsid w:val="00586237"/>
    <w:rsid w:val="0058753F"/>
    <w:rsid w:val="00587FEA"/>
    <w:rsid w:val="00591DDD"/>
    <w:rsid w:val="005C3814"/>
    <w:rsid w:val="005C48EF"/>
    <w:rsid w:val="005E08BF"/>
    <w:rsid w:val="005E4ED4"/>
    <w:rsid w:val="005F0496"/>
    <w:rsid w:val="005F160B"/>
    <w:rsid w:val="005F20A9"/>
    <w:rsid w:val="005F2D7A"/>
    <w:rsid w:val="005F3B28"/>
    <w:rsid w:val="0060477C"/>
    <w:rsid w:val="006117E0"/>
    <w:rsid w:val="00623A0C"/>
    <w:rsid w:val="00623EA0"/>
    <w:rsid w:val="00632D78"/>
    <w:rsid w:val="00640CF8"/>
    <w:rsid w:val="00646540"/>
    <w:rsid w:val="00656587"/>
    <w:rsid w:val="006618AC"/>
    <w:rsid w:val="006859B1"/>
    <w:rsid w:val="00691020"/>
    <w:rsid w:val="006930E0"/>
    <w:rsid w:val="00693232"/>
    <w:rsid w:val="0069516B"/>
    <w:rsid w:val="006A5596"/>
    <w:rsid w:val="006B050D"/>
    <w:rsid w:val="006C64D5"/>
    <w:rsid w:val="006C7E41"/>
    <w:rsid w:val="006D235D"/>
    <w:rsid w:val="006E058F"/>
    <w:rsid w:val="006E44B5"/>
    <w:rsid w:val="0071246D"/>
    <w:rsid w:val="00715CAB"/>
    <w:rsid w:val="00734A34"/>
    <w:rsid w:val="00734EB2"/>
    <w:rsid w:val="00737568"/>
    <w:rsid w:val="0075365C"/>
    <w:rsid w:val="00763D35"/>
    <w:rsid w:val="007715C0"/>
    <w:rsid w:val="00772796"/>
    <w:rsid w:val="00791468"/>
    <w:rsid w:val="0079340F"/>
    <w:rsid w:val="007937BF"/>
    <w:rsid w:val="00794EC4"/>
    <w:rsid w:val="007A64E0"/>
    <w:rsid w:val="007B01B6"/>
    <w:rsid w:val="007C0B8A"/>
    <w:rsid w:val="007C7EC3"/>
    <w:rsid w:val="007E257A"/>
    <w:rsid w:val="007E7750"/>
    <w:rsid w:val="007F0A65"/>
    <w:rsid w:val="00800CC9"/>
    <w:rsid w:val="00801ED1"/>
    <w:rsid w:val="0080302F"/>
    <w:rsid w:val="00825130"/>
    <w:rsid w:val="00826033"/>
    <w:rsid w:val="008263E3"/>
    <w:rsid w:val="00827185"/>
    <w:rsid w:val="00837EED"/>
    <w:rsid w:val="008529EA"/>
    <w:rsid w:val="00857FB2"/>
    <w:rsid w:val="008613BA"/>
    <w:rsid w:val="00861C7E"/>
    <w:rsid w:val="00875ECF"/>
    <w:rsid w:val="00880FD2"/>
    <w:rsid w:val="008840D1"/>
    <w:rsid w:val="00897D99"/>
    <w:rsid w:val="008A19DA"/>
    <w:rsid w:val="008A25F4"/>
    <w:rsid w:val="008B78A6"/>
    <w:rsid w:val="008C5F14"/>
    <w:rsid w:val="008D6248"/>
    <w:rsid w:val="008E7410"/>
    <w:rsid w:val="008F740F"/>
    <w:rsid w:val="0090018D"/>
    <w:rsid w:val="009206FE"/>
    <w:rsid w:val="009305AA"/>
    <w:rsid w:val="009313D3"/>
    <w:rsid w:val="00945E28"/>
    <w:rsid w:val="00954018"/>
    <w:rsid w:val="00963923"/>
    <w:rsid w:val="009660B5"/>
    <w:rsid w:val="0096763D"/>
    <w:rsid w:val="00967EF2"/>
    <w:rsid w:val="00970FB9"/>
    <w:rsid w:val="00976664"/>
    <w:rsid w:val="00977CB8"/>
    <w:rsid w:val="00995918"/>
    <w:rsid w:val="009A113B"/>
    <w:rsid w:val="009A5332"/>
    <w:rsid w:val="009A7A45"/>
    <w:rsid w:val="009B082C"/>
    <w:rsid w:val="009B4D32"/>
    <w:rsid w:val="009B6AC2"/>
    <w:rsid w:val="009C4166"/>
    <w:rsid w:val="009C5DC6"/>
    <w:rsid w:val="009C5FD6"/>
    <w:rsid w:val="009D3B82"/>
    <w:rsid w:val="009E1FC4"/>
    <w:rsid w:val="009E2EAD"/>
    <w:rsid w:val="009E3BDB"/>
    <w:rsid w:val="009E7E10"/>
    <w:rsid w:val="009F2C76"/>
    <w:rsid w:val="00A0111D"/>
    <w:rsid w:val="00A119D3"/>
    <w:rsid w:val="00A2179F"/>
    <w:rsid w:val="00A31727"/>
    <w:rsid w:val="00A35E66"/>
    <w:rsid w:val="00A40483"/>
    <w:rsid w:val="00A40C61"/>
    <w:rsid w:val="00A41F69"/>
    <w:rsid w:val="00A51676"/>
    <w:rsid w:val="00A51888"/>
    <w:rsid w:val="00A94B70"/>
    <w:rsid w:val="00AA3E97"/>
    <w:rsid w:val="00AA648C"/>
    <w:rsid w:val="00AA67D1"/>
    <w:rsid w:val="00AB0C43"/>
    <w:rsid w:val="00AB0FFA"/>
    <w:rsid w:val="00AB6E90"/>
    <w:rsid w:val="00AC4CF3"/>
    <w:rsid w:val="00AC649B"/>
    <w:rsid w:val="00AC6CC2"/>
    <w:rsid w:val="00AF0866"/>
    <w:rsid w:val="00AF714A"/>
    <w:rsid w:val="00B02FEB"/>
    <w:rsid w:val="00B108CE"/>
    <w:rsid w:val="00B144E3"/>
    <w:rsid w:val="00B17B49"/>
    <w:rsid w:val="00B23995"/>
    <w:rsid w:val="00B30DE4"/>
    <w:rsid w:val="00B423C2"/>
    <w:rsid w:val="00B449E7"/>
    <w:rsid w:val="00B63187"/>
    <w:rsid w:val="00B640A5"/>
    <w:rsid w:val="00B67551"/>
    <w:rsid w:val="00B70BA3"/>
    <w:rsid w:val="00B720D7"/>
    <w:rsid w:val="00B814B5"/>
    <w:rsid w:val="00B832B2"/>
    <w:rsid w:val="00B84163"/>
    <w:rsid w:val="00B92BD7"/>
    <w:rsid w:val="00B9732D"/>
    <w:rsid w:val="00BA1A55"/>
    <w:rsid w:val="00BA2AAC"/>
    <w:rsid w:val="00BB1317"/>
    <w:rsid w:val="00BC0097"/>
    <w:rsid w:val="00BC3DC7"/>
    <w:rsid w:val="00BC6B68"/>
    <w:rsid w:val="00BC774A"/>
    <w:rsid w:val="00BD13AD"/>
    <w:rsid w:val="00BD6C1D"/>
    <w:rsid w:val="00BE50AC"/>
    <w:rsid w:val="00BF1046"/>
    <w:rsid w:val="00C16C53"/>
    <w:rsid w:val="00C27547"/>
    <w:rsid w:val="00C32A18"/>
    <w:rsid w:val="00C4171C"/>
    <w:rsid w:val="00C50BE3"/>
    <w:rsid w:val="00C542AC"/>
    <w:rsid w:val="00C60512"/>
    <w:rsid w:val="00C67C5F"/>
    <w:rsid w:val="00C74A1B"/>
    <w:rsid w:val="00C757DC"/>
    <w:rsid w:val="00C7735B"/>
    <w:rsid w:val="00C95A24"/>
    <w:rsid w:val="00CA2F9C"/>
    <w:rsid w:val="00CA6A25"/>
    <w:rsid w:val="00CC24B2"/>
    <w:rsid w:val="00CC529F"/>
    <w:rsid w:val="00CC74E8"/>
    <w:rsid w:val="00CC7988"/>
    <w:rsid w:val="00CD20AF"/>
    <w:rsid w:val="00CD7F1B"/>
    <w:rsid w:val="00CE28F6"/>
    <w:rsid w:val="00CE44E6"/>
    <w:rsid w:val="00D02937"/>
    <w:rsid w:val="00D034AF"/>
    <w:rsid w:val="00D07193"/>
    <w:rsid w:val="00D112C8"/>
    <w:rsid w:val="00D135EE"/>
    <w:rsid w:val="00D15C72"/>
    <w:rsid w:val="00D22E7B"/>
    <w:rsid w:val="00D249C9"/>
    <w:rsid w:val="00D3095F"/>
    <w:rsid w:val="00D356CA"/>
    <w:rsid w:val="00D611EE"/>
    <w:rsid w:val="00D70819"/>
    <w:rsid w:val="00D7447B"/>
    <w:rsid w:val="00D823B3"/>
    <w:rsid w:val="00D87305"/>
    <w:rsid w:val="00D97B25"/>
    <w:rsid w:val="00DA1EAA"/>
    <w:rsid w:val="00DA6973"/>
    <w:rsid w:val="00DA6C71"/>
    <w:rsid w:val="00DA7375"/>
    <w:rsid w:val="00DC0BE5"/>
    <w:rsid w:val="00DD77FF"/>
    <w:rsid w:val="00DE087F"/>
    <w:rsid w:val="00DE55DA"/>
    <w:rsid w:val="00DF18B5"/>
    <w:rsid w:val="00E01D0A"/>
    <w:rsid w:val="00E041A6"/>
    <w:rsid w:val="00E0729E"/>
    <w:rsid w:val="00E22FE2"/>
    <w:rsid w:val="00E3321A"/>
    <w:rsid w:val="00E3494D"/>
    <w:rsid w:val="00E3736E"/>
    <w:rsid w:val="00E373ED"/>
    <w:rsid w:val="00E377DD"/>
    <w:rsid w:val="00E62F6D"/>
    <w:rsid w:val="00E6488B"/>
    <w:rsid w:val="00E74805"/>
    <w:rsid w:val="00E77A97"/>
    <w:rsid w:val="00E87189"/>
    <w:rsid w:val="00E87891"/>
    <w:rsid w:val="00EA0B67"/>
    <w:rsid w:val="00EB6CDF"/>
    <w:rsid w:val="00EC3335"/>
    <w:rsid w:val="00EC7997"/>
    <w:rsid w:val="00EE6283"/>
    <w:rsid w:val="00EF4AA6"/>
    <w:rsid w:val="00F01B5C"/>
    <w:rsid w:val="00F123FD"/>
    <w:rsid w:val="00F15A6C"/>
    <w:rsid w:val="00F33679"/>
    <w:rsid w:val="00F33957"/>
    <w:rsid w:val="00F520F6"/>
    <w:rsid w:val="00F52DB7"/>
    <w:rsid w:val="00F543E9"/>
    <w:rsid w:val="00F63844"/>
    <w:rsid w:val="00F66381"/>
    <w:rsid w:val="00F73F83"/>
    <w:rsid w:val="00F76126"/>
    <w:rsid w:val="00F8230E"/>
    <w:rsid w:val="00F953A2"/>
    <w:rsid w:val="00F97953"/>
    <w:rsid w:val="00FA72AF"/>
    <w:rsid w:val="00FC292F"/>
    <w:rsid w:val="00FC52E4"/>
    <w:rsid w:val="00FD29E7"/>
    <w:rsid w:val="00FE0D58"/>
    <w:rsid w:val="00FE5743"/>
    <w:rsid w:val="00FF10D5"/>
    <w:rsid w:val="013276DE"/>
    <w:rsid w:val="013D4B60"/>
    <w:rsid w:val="02274ADB"/>
    <w:rsid w:val="0233386D"/>
    <w:rsid w:val="02477318"/>
    <w:rsid w:val="02497534"/>
    <w:rsid w:val="026659F0"/>
    <w:rsid w:val="027125E7"/>
    <w:rsid w:val="02775E4F"/>
    <w:rsid w:val="02857679"/>
    <w:rsid w:val="02E254A6"/>
    <w:rsid w:val="02F310BD"/>
    <w:rsid w:val="030B5EE4"/>
    <w:rsid w:val="03405E1E"/>
    <w:rsid w:val="038A7E04"/>
    <w:rsid w:val="03EA43FF"/>
    <w:rsid w:val="04194CE4"/>
    <w:rsid w:val="04891E6A"/>
    <w:rsid w:val="04BF763A"/>
    <w:rsid w:val="04CF6EEC"/>
    <w:rsid w:val="04E83035"/>
    <w:rsid w:val="04F33787"/>
    <w:rsid w:val="04FC6AE0"/>
    <w:rsid w:val="05544B7B"/>
    <w:rsid w:val="0559183C"/>
    <w:rsid w:val="06135E8F"/>
    <w:rsid w:val="062D3E42"/>
    <w:rsid w:val="06712BB6"/>
    <w:rsid w:val="06D82C35"/>
    <w:rsid w:val="06F5320B"/>
    <w:rsid w:val="07181283"/>
    <w:rsid w:val="072365A6"/>
    <w:rsid w:val="07A623E6"/>
    <w:rsid w:val="08186AC1"/>
    <w:rsid w:val="08537E2D"/>
    <w:rsid w:val="08801380"/>
    <w:rsid w:val="08CC67C9"/>
    <w:rsid w:val="08D5688C"/>
    <w:rsid w:val="099A2423"/>
    <w:rsid w:val="0A2F7010"/>
    <w:rsid w:val="0A3E3D1B"/>
    <w:rsid w:val="0A8A4C6E"/>
    <w:rsid w:val="0ADD4CBE"/>
    <w:rsid w:val="0B043FF8"/>
    <w:rsid w:val="0B0C55A3"/>
    <w:rsid w:val="0B2907D4"/>
    <w:rsid w:val="0B420FC5"/>
    <w:rsid w:val="0BD7170D"/>
    <w:rsid w:val="0BF70001"/>
    <w:rsid w:val="0BFC5617"/>
    <w:rsid w:val="0BFE174A"/>
    <w:rsid w:val="0CA912FB"/>
    <w:rsid w:val="0CD93263"/>
    <w:rsid w:val="0CF167FE"/>
    <w:rsid w:val="0CF462EF"/>
    <w:rsid w:val="0D3112F1"/>
    <w:rsid w:val="0D3606B5"/>
    <w:rsid w:val="0D584ACF"/>
    <w:rsid w:val="0D6B65B1"/>
    <w:rsid w:val="0DC7755F"/>
    <w:rsid w:val="0DFC36AD"/>
    <w:rsid w:val="0E9D6C3E"/>
    <w:rsid w:val="0EA7186A"/>
    <w:rsid w:val="0ED62150"/>
    <w:rsid w:val="0ED65CAC"/>
    <w:rsid w:val="0EE505E5"/>
    <w:rsid w:val="0EE9136C"/>
    <w:rsid w:val="0F5F4247"/>
    <w:rsid w:val="0F751969"/>
    <w:rsid w:val="0F891399"/>
    <w:rsid w:val="0F931DEF"/>
    <w:rsid w:val="0FA947FC"/>
    <w:rsid w:val="0FC87CEA"/>
    <w:rsid w:val="0FCB1589"/>
    <w:rsid w:val="0FED14FF"/>
    <w:rsid w:val="101E3DAE"/>
    <w:rsid w:val="102939CA"/>
    <w:rsid w:val="10354C54"/>
    <w:rsid w:val="10545A22"/>
    <w:rsid w:val="10596B94"/>
    <w:rsid w:val="109202F8"/>
    <w:rsid w:val="10A047C3"/>
    <w:rsid w:val="10AA3894"/>
    <w:rsid w:val="10AC760C"/>
    <w:rsid w:val="10D601E5"/>
    <w:rsid w:val="10F863AD"/>
    <w:rsid w:val="11057DFB"/>
    <w:rsid w:val="11C7364C"/>
    <w:rsid w:val="11DD37F5"/>
    <w:rsid w:val="11F528ED"/>
    <w:rsid w:val="12C549B5"/>
    <w:rsid w:val="12C64872"/>
    <w:rsid w:val="12CF45E0"/>
    <w:rsid w:val="12FF077C"/>
    <w:rsid w:val="130059ED"/>
    <w:rsid w:val="130C4392"/>
    <w:rsid w:val="13135DE5"/>
    <w:rsid w:val="132A0CBC"/>
    <w:rsid w:val="133574DA"/>
    <w:rsid w:val="136E6DFB"/>
    <w:rsid w:val="13737F6D"/>
    <w:rsid w:val="137F4B64"/>
    <w:rsid w:val="13AB3BAB"/>
    <w:rsid w:val="13AF2F6F"/>
    <w:rsid w:val="13B8433A"/>
    <w:rsid w:val="13BD743A"/>
    <w:rsid w:val="13E673A7"/>
    <w:rsid w:val="143C0CA7"/>
    <w:rsid w:val="144D5A0F"/>
    <w:rsid w:val="146E6986"/>
    <w:rsid w:val="14740441"/>
    <w:rsid w:val="14771CDF"/>
    <w:rsid w:val="14A14FAE"/>
    <w:rsid w:val="14B46A8F"/>
    <w:rsid w:val="14B95E54"/>
    <w:rsid w:val="14EA24B1"/>
    <w:rsid w:val="14FE5F5C"/>
    <w:rsid w:val="150712B5"/>
    <w:rsid w:val="157A2903"/>
    <w:rsid w:val="159B19FD"/>
    <w:rsid w:val="15AF4EC8"/>
    <w:rsid w:val="15B11221"/>
    <w:rsid w:val="15D32F45"/>
    <w:rsid w:val="15DE3528"/>
    <w:rsid w:val="15EC268E"/>
    <w:rsid w:val="1614760A"/>
    <w:rsid w:val="16175528"/>
    <w:rsid w:val="165D6CB3"/>
    <w:rsid w:val="166D15EC"/>
    <w:rsid w:val="16816E45"/>
    <w:rsid w:val="17190E2C"/>
    <w:rsid w:val="17BFA9A7"/>
    <w:rsid w:val="17D336D0"/>
    <w:rsid w:val="18075128"/>
    <w:rsid w:val="182F6603"/>
    <w:rsid w:val="183D3240"/>
    <w:rsid w:val="18A46E1B"/>
    <w:rsid w:val="18A66740"/>
    <w:rsid w:val="18BC67B6"/>
    <w:rsid w:val="18FC6C57"/>
    <w:rsid w:val="190821DE"/>
    <w:rsid w:val="191044B0"/>
    <w:rsid w:val="19181A3A"/>
    <w:rsid w:val="19794F42"/>
    <w:rsid w:val="197D2202"/>
    <w:rsid w:val="19836D52"/>
    <w:rsid w:val="199B6470"/>
    <w:rsid w:val="19AF1F1B"/>
    <w:rsid w:val="19BE215E"/>
    <w:rsid w:val="19DE12D4"/>
    <w:rsid w:val="1A1F0E4F"/>
    <w:rsid w:val="1A562397"/>
    <w:rsid w:val="1A66082C"/>
    <w:rsid w:val="1A6A7BF0"/>
    <w:rsid w:val="1AB772D9"/>
    <w:rsid w:val="1AD928F8"/>
    <w:rsid w:val="1AEB2BA0"/>
    <w:rsid w:val="1AF51BB0"/>
    <w:rsid w:val="1B397CEE"/>
    <w:rsid w:val="1B3A6EE4"/>
    <w:rsid w:val="1B522B5E"/>
    <w:rsid w:val="1B9E5DA3"/>
    <w:rsid w:val="1C0F0A4F"/>
    <w:rsid w:val="1C934EFD"/>
    <w:rsid w:val="1CA7512B"/>
    <w:rsid w:val="1D1C3424"/>
    <w:rsid w:val="1D2247B2"/>
    <w:rsid w:val="1DAF24EA"/>
    <w:rsid w:val="1DED4DC0"/>
    <w:rsid w:val="1E01086B"/>
    <w:rsid w:val="1E2C58E8"/>
    <w:rsid w:val="1E426EBA"/>
    <w:rsid w:val="1E5906A7"/>
    <w:rsid w:val="1E7DA515"/>
    <w:rsid w:val="1E890F8D"/>
    <w:rsid w:val="1E8C6387"/>
    <w:rsid w:val="1F155895"/>
    <w:rsid w:val="1F2667DB"/>
    <w:rsid w:val="1F291E28"/>
    <w:rsid w:val="1FA77D18"/>
    <w:rsid w:val="1FAB6CE1"/>
    <w:rsid w:val="204F3B10"/>
    <w:rsid w:val="207277FE"/>
    <w:rsid w:val="208B2F4D"/>
    <w:rsid w:val="20B100AC"/>
    <w:rsid w:val="20DC29B8"/>
    <w:rsid w:val="20E26732"/>
    <w:rsid w:val="21240AF9"/>
    <w:rsid w:val="214952EC"/>
    <w:rsid w:val="21CC3364"/>
    <w:rsid w:val="2230171F"/>
    <w:rsid w:val="22455C15"/>
    <w:rsid w:val="227E692E"/>
    <w:rsid w:val="228E4DC3"/>
    <w:rsid w:val="22A53EBB"/>
    <w:rsid w:val="238B4E5F"/>
    <w:rsid w:val="23A979DB"/>
    <w:rsid w:val="23DC390D"/>
    <w:rsid w:val="23EE3552"/>
    <w:rsid w:val="24042E63"/>
    <w:rsid w:val="240F3CE2"/>
    <w:rsid w:val="2477709A"/>
    <w:rsid w:val="24B30B11"/>
    <w:rsid w:val="24F46A34"/>
    <w:rsid w:val="25007ACF"/>
    <w:rsid w:val="254F010E"/>
    <w:rsid w:val="25513E86"/>
    <w:rsid w:val="257B7155"/>
    <w:rsid w:val="259A75DB"/>
    <w:rsid w:val="25DB5773"/>
    <w:rsid w:val="25F0544D"/>
    <w:rsid w:val="26661BB3"/>
    <w:rsid w:val="26A526DC"/>
    <w:rsid w:val="26F735BC"/>
    <w:rsid w:val="27005B64"/>
    <w:rsid w:val="2702368A"/>
    <w:rsid w:val="27174C5C"/>
    <w:rsid w:val="277C1DD4"/>
    <w:rsid w:val="27930786"/>
    <w:rsid w:val="27BE60C1"/>
    <w:rsid w:val="27DA4607"/>
    <w:rsid w:val="27FF7BCA"/>
    <w:rsid w:val="281A0EA7"/>
    <w:rsid w:val="28956780"/>
    <w:rsid w:val="28D63020"/>
    <w:rsid w:val="28E60D8A"/>
    <w:rsid w:val="290E47B0"/>
    <w:rsid w:val="2982116B"/>
    <w:rsid w:val="29C27101"/>
    <w:rsid w:val="29C35948"/>
    <w:rsid w:val="29EA6657"/>
    <w:rsid w:val="29EE6148"/>
    <w:rsid w:val="29F7651B"/>
    <w:rsid w:val="2A4238B9"/>
    <w:rsid w:val="2A461AE0"/>
    <w:rsid w:val="2AAD1ED5"/>
    <w:rsid w:val="2AB70EC7"/>
    <w:rsid w:val="2ABF7AE4"/>
    <w:rsid w:val="2ACB6489"/>
    <w:rsid w:val="2B520958"/>
    <w:rsid w:val="2BA2543C"/>
    <w:rsid w:val="2BAF1907"/>
    <w:rsid w:val="2BD33847"/>
    <w:rsid w:val="2C0559CB"/>
    <w:rsid w:val="2C123064"/>
    <w:rsid w:val="2CFC0B7C"/>
    <w:rsid w:val="2D0637A8"/>
    <w:rsid w:val="2D502C75"/>
    <w:rsid w:val="2D67693D"/>
    <w:rsid w:val="2DB17BB8"/>
    <w:rsid w:val="2E1168A9"/>
    <w:rsid w:val="2E7C5D30"/>
    <w:rsid w:val="2EA46DF7"/>
    <w:rsid w:val="2F151A8B"/>
    <w:rsid w:val="2F1A3DD4"/>
    <w:rsid w:val="2F4D56BE"/>
    <w:rsid w:val="2F5729E1"/>
    <w:rsid w:val="2F5F53F2"/>
    <w:rsid w:val="2F803CE6"/>
    <w:rsid w:val="2F8F5CD7"/>
    <w:rsid w:val="2FAF45CB"/>
    <w:rsid w:val="2FAF469B"/>
    <w:rsid w:val="2FC33BD3"/>
    <w:rsid w:val="2FED2BBB"/>
    <w:rsid w:val="301601A6"/>
    <w:rsid w:val="3068724F"/>
    <w:rsid w:val="307B44AD"/>
    <w:rsid w:val="309A0DD7"/>
    <w:rsid w:val="30CB71E3"/>
    <w:rsid w:val="30E402A4"/>
    <w:rsid w:val="30E87D95"/>
    <w:rsid w:val="30EE2ED1"/>
    <w:rsid w:val="31172428"/>
    <w:rsid w:val="31293F09"/>
    <w:rsid w:val="31550BF3"/>
    <w:rsid w:val="31E0281A"/>
    <w:rsid w:val="31E3055C"/>
    <w:rsid w:val="31F664E1"/>
    <w:rsid w:val="324803BF"/>
    <w:rsid w:val="327D275F"/>
    <w:rsid w:val="32A01FA9"/>
    <w:rsid w:val="32D22AAA"/>
    <w:rsid w:val="32F72511"/>
    <w:rsid w:val="330C763F"/>
    <w:rsid w:val="335F3C12"/>
    <w:rsid w:val="33BA5B74"/>
    <w:rsid w:val="33E74334"/>
    <w:rsid w:val="341A2FB7"/>
    <w:rsid w:val="34313801"/>
    <w:rsid w:val="34530F27"/>
    <w:rsid w:val="34E15227"/>
    <w:rsid w:val="34E73EBF"/>
    <w:rsid w:val="352E7D40"/>
    <w:rsid w:val="353C420B"/>
    <w:rsid w:val="35604349"/>
    <w:rsid w:val="356674DA"/>
    <w:rsid w:val="35714C03"/>
    <w:rsid w:val="358856A2"/>
    <w:rsid w:val="358B2E3D"/>
    <w:rsid w:val="35A324DC"/>
    <w:rsid w:val="35C83CF1"/>
    <w:rsid w:val="35CE6E2D"/>
    <w:rsid w:val="35D7578A"/>
    <w:rsid w:val="35DB7EC8"/>
    <w:rsid w:val="35F920FC"/>
    <w:rsid w:val="361A2073"/>
    <w:rsid w:val="363D4962"/>
    <w:rsid w:val="36401AD9"/>
    <w:rsid w:val="366F23BE"/>
    <w:rsid w:val="36962041"/>
    <w:rsid w:val="36E20DE2"/>
    <w:rsid w:val="36EB1726"/>
    <w:rsid w:val="36FD79CA"/>
    <w:rsid w:val="370B658B"/>
    <w:rsid w:val="3728158B"/>
    <w:rsid w:val="372E3509"/>
    <w:rsid w:val="378620B5"/>
    <w:rsid w:val="37D03331"/>
    <w:rsid w:val="381F1BC2"/>
    <w:rsid w:val="385C6972"/>
    <w:rsid w:val="38831D32"/>
    <w:rsid w:val="38833DC6"/>
    <w:rsid w:val="3891486E"/>
    <w:rsid w:val="389600D6"/>
    <w:rsid w:val="38983E4E"/>
    <w:rsid w:val="38CE6B9E"/>
    <w:rsid w:val="3942025E"/>
    <w:rsid w:val="394915ED"/>
    <w:rsid w:val="39A358B5"/>
    <w:rsid w:val="39AD6C6D"/>
    <w:rsid w:val="39B63196"/>
    <w:rsid w:val="3A301503"/>
    <w:rsid w:val="3A3E7A83"/>
    <w:rsid w:val="3A8521B0"/>
    <w:rsid w:val="3AC86541"/>
    <w:rsid w:val="3B143534"/>
    <w:rsid w:val="3B2319C9"/>
    <w:rsid w:val="3C0C2E19"/>
    <w:rsid w:val="3C4D13F4"/>
    <w:rsid w:val="3C90308E"/>
    <w:rsid w:val="3C946D5A"/>
    <w:rsid w:val="3D1837B0"/>
    <w:rsid w:val="3D2F488F"/>
    <w:rsid w:val="3D7773C5"/>
    <w:rsid w:val="3DF24001"/>
    <w:rsid w:val="3E556C1E"/>
    <w:rsid w:val="3E5C76CC"/>
    <w:rsid w:val="3E5F71BC"/>
    <w:rsid w:val="3EB2553E"/>
    <w:rsid w:val="3EFB5137"/>
    <w:rsid w:val="3F1B1335"/>
    <w:rsid w:val="3F6525B0"/>
    <w:rsid w:val="3F966107"/>
    <w:rsid w:val="3FA70E1B"/>
    <w:rsid w:val="3FF176A8"/>
    <w:rsid w:val="40161C34"/>
    <w:rsid w:val="408B3B4B"/>
    <w:rsid w:val="409C0254"/>
    <w:rsid w:val="40BC4452"/>
    <w:rsid w:val="41EA4FEF"/>
    <w:rsid w:val="42AB29D0"/>
    <w:rsid w:val="42F54BE7"/>
    <w:rsid w:val="43115D2A"/>
    <w:rsid w:val="433B1FA6"/>
    <w:rsid w:val="43430E5B"/>
    <w:rsid w:val="44071E88"/>
    <w:rsid w:val="441822E7"/>
    <w:rsid w:val="44191BBB"/>
    <w:rsid w:val="44B33DBE"/>
    <w:rsid w:val="44FF0DB1"/>
    <w:rsid w:val="450A60D4"/>
    <w:rsid w:val="45232EC1"/>
    <w:rsid w:val="453E7B2C"/>
    <w:rsid w:val="45587C22"/>
    <w:rsid w:val="45E24E51"/>
    <w:rsid w:val="45F428E0"/>
    <w:rsid w:val="46011DE5"/>
    <w:rsid w:val="46174C28"/>
    <w:rsid w:val="46286B31"/>
    <w:rsid w:val="463A37C2"/>
    <w:rsid w:val="464C6278"/>
    <w:rsid w:val="46582E6F"/>
    <w:rsid w:val="465E7D59"/>
    <w:rsid w:val="46650DFD"/>
    <w:rsid w:val="4674757D"/>
    <w:rsid w:val="468123C6"/>
    <w:rsid w:val="46B94916"/>
    <w:rsid w:val="46E93AC7"/>
    <w:rsid w:val="47342061"/>
    <w:rsid w:val="473A4323"/>
    <w:rsid w:val="47857C94"/>
    <w:rsid w:val="479C322F"/>
    <w:rsid w:val="47EB386F"/>
    <w:rsid w:val="48030BB8"/>
    <w:rsid w:val="480A0199"/>
    <w:rsid w:val="48311BC9"/>
    <w:rsid w:val="48492B7D"/>
    <w:rsid w:val="488C32A4"/>
    <w:rsid w:val="48BD40E6"/>
    <w:rsid w:val="48BD520B"/>
    <w:rsid w:val="4924528A"/>
    <w:rsid w:val="49415E3C"/>
    <w:rsid w:val="49557B3A"/>
    <w:rsid w:val="497C6E74"/>
    <w:rsid w:val="4981448B"/>
    <w:rsid w:val="49AD1724"/>
    <w:rsid w:val="49B4660E"/>
    <w:rsid w:val="4A426FE6"/>
    <w:rsid w:val="4A572A63"/>
    <w:rsid w:val="4A5D6CA6"/>
    <w:rsid w:val="4A735A25"/>
    <w:rsid w:val="4B02784D"/>
    <w:rsid w:val="4B0610EB"/>
    <w:rsid w:val="4B0E7FA0"/>
    <w:rsid w:val="4B180E1F"/>
    <w:rsid w:val="4B271062"/>
    <w:rsid w:val="4B3814C1"/>
    <w:rsid w:val="4B46773A"/>
    <w:rsid w:val="4B5856BF"/>
    <w:rsid w:val="4B5E0F27"/>
    <w:rsid w:val="4B6B0F4E"/>
    <w:rsid w:val="4BA821A3"/>
    <w:rsid w:val="4BC15012"/>
    <w:rsid w:val="4BC93EC7"/>
    <w:rsid w:val="4D057181"/>
    <w:rsid w:val="4D716B2B"/>
    <w:rsid w:val="4D85403F"/>
    <w:rsid w:val="4D9A3D6D"/>
    <w:rsid w:val="4DCF7EBB"/>
    <w:rsid w:val="4E154828"/>
    <w:rsid w:val="4E4E4FFF"/>
    <w:rsid w:val="4E671CCB"/>
    <w:rsid w:val="4E9E5ADF"/>
    <w:rsid w:val="4EA07161"/>
    <w:rsid w:val="4EFB1F76"/>
    <w:rsid w:val="4F0A6CD0"/>
    <w:rsid w:val="4F4641AC"/>
    <w:rsid w:val="4F4F0B87"/>
    <w:rsid w:val="4F9E0E2B"/>
    <w:rsid w:val="4FB61588"/>
    <w:rsid w:val="4FDF1F0B"/>
    <w:rsid w:val="4FFD05E3"/>
    <w:rsid w:val="501C6CBB"/>
    <w:rsid w:val="50267A8B"/>
    <w:rsid w:val="506A00F9"/>
    <w:rsid w:val="509C0D4E"/>
    <w:rsid w:val="50E7594A"/>
    <w:rsid w:val="51200A2D"/>
    <w:rsid w:val="517843C5"/>
    <w:rsid w:val="52391E2A"/>
    <w:rsid w:val="52865B18"/>
    <w:rsid w:val="53132A54"/>
    <w:rsid w:val="53715570"/>
    <w:rsid w:val="540168F4"/>
    <w:rsid w:val="541101B2"/>
    <w:rsid w:val="541D1254"/>
    <w:rsid w:val="545729B8"/>
    <w:rsid w:val="5463310B"/>
    <w:rsid w:val="546450D5"/>
    <w:rsid w:val="547F1C6D"/>
    <w:rsid w:val="54D1276A"/>
    <w:rsid w:val="54E83610"/>
    <w:rsid w:val="54E90592"/>
    <w:rsid w:val="54ED50CA"/>
    <w:rsid w:val="54F73911"/>
    <w:rsid w:val="54FC355F"/>
    <w:rsid w:val="557430F6"/>
    <w:rsid w:val="55A90ED7"/>
    <w:rsid w:val="562543DE"/>
    <w:rsid w:val="5627460C"/>
    <w:rsid w:val="56D20E7E"/>
    <w:rsid w:val="56FE35BF"/>
    <w:rsid w:val="576D42A0"/>
    <w:rsid w:val="578148F6"/>
    <w:rsid w:val="57C245EC"/>
    <w:rsid w:val="580249E9"/>
    <w:rsid w:val="580F5357"/>
    <w:rsid w:val="581D266F"/>
    <w:rsid w:val="58337298"/>
    <w:rsid w:val="58354DBE"/>
    <w:rsid w:val="587C7ECD"/>
    <w:rsid w:val="592310BA"/>
    <w:rsid w:val="59513E7A"/>
    <w:rsid w:val="59554FEC"/>
    <w:rsid w:val="59B078E9"/>
    <w:rsid w:val="59B368E2"/>
    <w:rsid w:val="5A0031AA"/>
    <w:rsid w:val="5A00764E"/>
    <w:rsid w:val="5A160C1D"/>
    <w:rsid w:val="5A1F7AD4"/>
    <w:rsid w:val="5A307F33"/>
    <w:rsid w:val="5A4412E8"/>
    <w:rsid w:val="5A657B1B"/>
    <w:rsid w:val="5A74434C"/>
    <w:rsid w:val="5A8E4C59"/>
    <w:rsid w:val="5AE26D53"/>
    <w:rsid w:val="5AEB20AC"/>
    <w:rsid w:val="5AFD491F"/>
    <w:rsid w:val="5B075EA7"/>
    <w:rsid w:val="5B215ACE"/>
    <w:rsid w:val="5B3752F1"/>
    <w:rsid w:val="5B59067D"/>
    <w:rsid w:val="5BA109BC"/>
    <w:rsid w:val="5BB029AE"/>
    <w:rsid w:val="5BD26DC8"/>
    <w:rsid w:val="5BD91F04"/>
    <w:rsid w:val="5BED775E"/>
    <w:rsid w:val="5C1473E0"/>
    <w:rsid w:val="5C423F4D"/>
    <w:rsid w:val="5C4C26D6"/>
    <w:rsid w:val="5C8C51C9"/>
    <w:rsid w:val="5D1C479E"/>
    <w:rsid w:val="5D296EBB"/>
    <w:rsid w:val="5D325D70"/>
    <w:rsid w:val="5D6B74D4"/>
    <w:rsid w:val="5D774D5E"/>
    <w:rsid w:val="5D8A795A"/>
    <w:rsid w:val="5D8F5802"/>
    <w:rsid w:val="5DA84AAB"/>
    <w:rsid w:val="5E47584B"/>
    <w:rsid w:val="5EAE1426"/>
    <w:rsid w:val="5EB10DED"/>
    <w:rsid w:val="5EF973AD"/>
    <w:rsid w:val="5F0903EE"/>
    <w:rsid w:val="5F6E0BB6"/>
    <w:rsid w:val="5F7C4924"/>
    <w:rsid w:val="5FBD1F9D"/>
    <w:rsid w:val="60260455"/>
    <w:rsid w:val="60487659"/>
    <w:rsid w:val="60915396"/>
    <w:rsid w:val="60DD5FF3"/>
    <w:rsid w:val="60EC26DA"/>
    <w:rsid w:val="60EF5D26"/>
    <w:rsid w:val="60F63558"/>
    <w:rsid w:val="6110461A"/>
    <w:rsid w:val="614B5652"/>
    <w:rsid w:val="6171346B"/>
    <w:rsid w:val="617526CF"/>
    <w:rsid w:val="619C7C5C"/>
    <w:rsid w:val="61A84564"/>
    <w:rsid w:val="61CB588D"/>
    <w:rsid w:val="61EF54AA"/>
    <w:rsid w:val="62285994"/>
    <w:rsid w:val="62500A46"/>
    <w:rsid w:val="62595B4D"/>
    <w:rsid w:val="62854B94"/>
    <w:rsid w:val="62A56FE4"/>
    <w:rsid w:val="62AA45FB"/>
    <w:rsid w:val="62E713AB"/>
    <w:rsid w:val="62E95123"/>
    <w:rsid w:val="63125213"/>
    <w:rsid w:val="631D301E"/>
    <w:rsid w:val="633B3D5B"/>
    <w:rsid w:val="63AE3C76"/>
    <w:rsid w:val="63EE0517"/>
    <w:rsid w:val="63F5056B"/>
    <w:rsid w:val="642B52C7"/>
    <w:rsid w:val="644E185F"/>
    <w:rsid w:val="64504D2E"/>
    <w:rsid w:val="65044496"/>
    <w:rsid w:val="6535464F"/>
    <w:rsid w:val="6558033E"/>
    <w:rsid w:val="658630FD"/>
    <w:rsid w:val="659770B8"/>
    <w:rsid w:val="66124991"/>
    <w:rsid w:val="66195D1F"/>
    <w:rsid w:val="663D12E2"/>
    <w:rsid w:val="6678122B"/>
    <w:rsid w:val="66865C53"/>
    <w:rsid w:val="66882EA5"/>
    <w:rsid w:val="66FC554E"/>
    <w:rsid w:val="672F4EDE"/>
    <w:rsid w:val="675D7E8D"/>
    <w:rsid w:val="676A6106"/>
    <w:rsid w:val="67786A75"/>
    <w:rsid w:val="67966EFB"/>
    <w:rsid w:val="67DA328C"/>
    <w:rsid w:val="67EB5499"/>
    <w:rsid w:val="67EC2FBF"/>
    <w:rsid w:val="67F105D6"/>
    <w:rsid w:val="67FB5B32"/>
    <w:rsid w:val="6841330B"/>
    <w:rsid w:val="68CF4DBB"/>
    <w:rsid w:val="68FB5BB0"/>
    <w:rsid w:val="69117181"/>
    <w:rsid w:val="694E2184"/>
    <w:rsid w:val="69935DE8"/>
    <w:rsid w:val="69A32664"/>
    <w:rsid w:val="69AE2C22"/>
    <w:rsid w:val="69B67542"/>
    <w:rsid w:val="6A187115"/>
    <w:rsid w:val="6A450854"/>
    <w:rsid w:val="6AD96E0B"/>
    <w:rsid w:val="6B2D7B77"/>
    <w:rsid w:val="6B513865"/>
    <w:rsid w:val="6B5554DA"/>
    <w:rsid w:val="6C066D46"/>
    <w:rsid w:val="6C480856"/>
    <w:rsid w:val="6C50785E"/>
    <w:rsid w:val="6CB322FE"/>
    <w:rsid w:val="6CEA21C3"/>
    <w:rsid w:val="6D09091E"/>
    <w:rsid w:val="6D1A412B"/>
    <w:rsid w:val="6D760823"/>
    <w:rsid w:val="6DA5433C"/>
    <w:rsid w:val="6DE138FF"/>
    <w:rsid w:val="6DEF3809"/>
    <w:rsid w:val="6DFA2868"/>
    <w:rsid w:val="6E1A6AD8"/>
    <w:rsid w:val="6E1D3ED3"/>
    <w:rsid w:val="6E3B6A4F"/>
    <w:rsid w:val="6E55366C"/>
    <w:rsid w:val="6E8B3532"/>
    <w:rsid w:val="6EDC5B3C"/>
    <w:rsid w:val="6FED1633"/>
    <w:rsid w:val="6FEF5D43"/>
    <w:rsid w:val="6FFD6F48"/>
    <w:rsid w:val="702B1C8E"/>
    <w:rsid w:val="70311D5E"/>
    <w:rsid w:val="70425469"/>
    <w:rsid w:val="70822713"/>
    <w:rsid w:val="709366CE"/>
    <w:rsid w:val="70950698"/>
    <w:rsid w:val="70AD3C34"/>
    <w:rsid w:val="70D212CB"/>
    <w:rsid w:val="70DF5DB7"/>
    <w:rsid w:val="71344B58"/>
    <w:rsid w:val="71791C90"/>
    <w:rsid w:val="71A212BE"/>
    <w:rsid w:val="71DF4EDF"/>
    <w:rsid w:val="71FF7CE7"/>
    <w:rsid w:val="72007D93"/>
    <w:rsid w:val="722949B1"/>
    <w:rsid w:val="722A4E10"/>
    <w:rsid w:val="724E4FA2"/>
    <w:rsid w:val="725974A3"/>
    <w:rsid w:val="72E871A5"/>
    <w:rsid w:val="73104006"/>
    <w:rsid w:val="73677AAD"/>
    <w:rsid w:val="738B779C"/>
    <w:rsid w:val="738D1AFA"/>
    <w:rsid w:val="73910526"/>
    <w:rsid w:val="739669A6"/>
    <w:rsid w:val="73C732A2"/>
    <w:rsid w:val="73D6524F"/>
    <w:rsid w:val="73F92CEC"/>
    <w:rsid w:val="73F9496E"/>
    <w:rsid w:val="742835D1"/>
    <w:rsid w:val="742D6E39"/>
    <w:rsid w:val="744C5512"/>
    <w:rsid w:val="744C6E12"/>
    <w:rsid w:val="745D771F"/>
    <w:rsid w:val="747800B5"/>
    <w:rsid w:val="7491561A"/>
    <w:rsid w:val="74DB6895"/>
    <w:rsid w:val="74F02341"/>
    <w:rsid w:val="750556C0"/>
    <w:rsid w:val="75BC66C7"/>
    <w:rsid w:val="75CD4430"/>
    <w:rsid w:val="75EA4FE2"/>
    <w:rsid w:val="761107C1"/>
    <w:rsid w:val="76171B4F"/>
    <w:rsid w:val="76326989"/>
    <w:rsid w:val="76674745"/>
    <w:rsid w:val="76857A13"/>
    <w:rsid w:val="76B4739E"/>
    <w:rsid w:val="77021B19"/>
    <w:rsid w:val="77530965"/>
    <w:rsid w:val="77A613DD"/>
    <w:rsid w:val="77F4039A"/>
    <w:rsid w:val="781E653B"/>
    <w:rsid w:val="7820118F"/>
    <w:rsid w:val="78232A2D"/>
    <w:rsid w:val="782D11B6"/>
    <w:rsid w:val="783D6C67"/>
    <w:rsid w:val="78A141F4"/>
    <w:rsid w:val="78A25ED8"/>
    <w:rsid w:val="78B52DFD"/>
    <w:rsid w:val="78BE62B2"/>
    <w:rsid w:val="78C935D5"/>
    <w:rsid w:val="78C95383"/>
    <w:rsid w:val="78F32400"/>
    <w:rsid w:val="78F41CD4"/>
    <w:rsid w:val="793B5B55"/>
    <w:rsid w:val="796450AB"/>
    <w:rsid w:val="797C0647"/>
    <w:rsid w:val="79D33FDF"/>
    <w:rsid w:val="79E45E91"/>
    <w:rsid w:val="79F74A90"/>
    <w:rsid w:val="7A0400BD"/>
    <w:rsid w:val="7A794B87"/>
    <w:rsid w:val="7B272834"/>
    <w:rsid w:val="7B4E6013"/>
    <w:rsid w:val="7B80502B"/>
    <w:rsid w:val="7BB0282A"/>
    <w:rsid w:val="7BFBF873"/>
    <w:rsid w:val="7BFC781D"/>
    <w:rsid w:val="7C596A1E"/>
    <w:rsid w:val="7D034BDB"/>
    <w:rsid w:val="7D360B0D"/>
    <w:rsid w:val="7D7E706F"/>
    <w:rsid w:val="7D8A5D02"/>
    <w:rsid w:val="7D8E4AE2"/>
    <w:rsid w:val="7DA41F1A"/>
    <w:rsid w:val="7DAC43AA"/>
    <w:rsid w:val="7DDF11A4"/>
    <w:rsid w:val="7DF9BA1F"/>
    <w:rsid w:val="7E6E2528"/>
    <w:rsid w:val="7EA81BA3"/>
    <w:rsid w:val="7EEA7E01"/>
    <w:rsid w:val="7F280929"/>
    <w:rsid w:val="7F2D4191"/>
    <w:rsid w:val="7F345520"/>
    <w:rsid w:val="7F671451"/>
    <w:rsid w:val="7F737DF6"/>
    <w:rsid w:val="7F9271EE"/>
    <w:rsid w:val="7FC73101"/>
    <w:rsid w:val="7FFBC671"/>
    <w:rsid w:val="ADAB06D9"/>
    <w:rsid w:val="B63D47F3"/>
    <w:rsid w:val="BFDF9370"/>
    <w:rsid w:val="E1D3E01D"/>
    <w:rsid w:val="EBD87ABB"/>
    <w:rsid w:val="EEFF0244"/>
    <w:rsid w:val="EF4F2F16"/>
    <w:rsid w:val="F478286B"/>
    <w:rsid w:val="F7FFC49B"/>
    <w:rsid w:val="FB3DF694"/>
    <w:rsid w:val="FDDB4953"/>
    <w:rsid w:val="FFEFB9B7"/>
    <w:rsid w:val="FFFF8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9" w:lineRule="auto"/>
      <w:jc w:val="left"/>
      <w:outlineLvl w:val="0"/>
    </w:pPr>
    <w:rPr>
      <w:rFonts w:eastAsia="黑体"/>
      <w:b/>
      <w:bCs/>
      <w:kern w:val="44"/>
      <w:sz w:val="32"/>
      <w:szCs w:val="44"/>
    </w:rPr>
  </w:style>
  <w:style w:type="paragraph" w:styleId="4">
    <w:name w:val="heading 2"/>
    <w:basedOn w:val="1"/>
    <w:next w:val="1"/>
    <w:link w:val="41"/>
    <w:unhideWhenUsed/>
    <w:qFormat/>
    <w:uiPriority w:val="0"/>
    <w:pPr>
      <w:keepNext/>
      <w:keepLines/>
      <w:spacing w:before="260" w:after="260" w:line="416" w:lineRule="auto"/>
      <w:jc w:val="left"/>
      <w:outlineLvl w:val="1"/>
    </w:pPr>
    <w:rPr>
      <w:rFonts w:eastAsia="黑体" w:asciiTheme="majorHAnsi" w:hAnsiTheme="majorHAnsi" w:cstheme="majorBidi"/>
      <w:b/>
      <w:bCs/>
      <w:sz w:val="30"/>
      <w:szCs w:val="32"/>
    </w:rPr>
  </w:style>
  <w:style w:type="paragraph" w:styleId="5">
    <w:name w:val="heading 3"/>
    <w:basedOn w:val="1"/>
    <w:next w:val="1"/>
    <w:unhideWhenUsed/>
    <w:qFormat/>
    <w:uiPriority w:val="0"/>
    <w:pPr>
      <w:keepNext/>
      <w:keepLines/>
      <w:spacing w:before="260" w:after="260" w:line="413" w:lineRule="auto"/>
      <w:jc w:val="left"/>
      <w:outlineLvl w:val="2"/>
    </w:pPr>
    <w:rPr>
      <w:rFonts w:eastAsia="仿宋_GB2312"/>
      <w:b/>
      <w:sz w:val="30"/>
    </w:rPr>
  </w:style>
  <w:style w:type="paragraph" w:styleId="6">
    <w:name w:val="heading 4"/>
    <w:basedOn w:val="1"/>
    <w:next w:val="1"/>
    <w:autoRedefine/>
    <w:unhideWhenUsed/>
    <w:qFormat/>
    <w:uiPriority w:val="0"/>
    <w:pPr>
      <w:keepNext/>
      <w:jc w:val="left"/>
      <w:outlineLvl w:val="3"/>
    </w:pPr>
    <w:rPr>
      <w:rFonts w:ascii="Times New Roman" w:hAnsi="Times New Roman" w:eastAsia="仿宋_GB2312" w:cs="Times New Roman"/>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jc w:val="center"/>
    </w:pPr>
    <w:rPr>
      <w:rFonts w:ascii="仿宋_GB2312" w:hAnsi="Times New Roman" w:eastAsia="仿宋_GB2312" w:cs="黑体"/>
      <w:b/>
      <w:bCs/>
      <w:color w:val="000000"/>
      <w:kern w:val="0"/>
      <w:sz w:val="28"/>
      <w:szCs w:val="28"/>
    </w:rPr>
  </w:style>
  <w:style w:type="paragraph" w:styleId="7">
    <w:name w:val="caption"/>
    <w:basedOn w:val="1"/>
    <w:next w:val="1"/>
    <w:autoRedefine/>
    <w:qFormat/>
    <w:uiPriority w:val="0"/>
    <w:rPr>
      <w:rFonts w:ascii="Cambria" w:hAnsi="Cambria" w:eastAsia="黑体"/>
      <w:sz w:val="20"/>
      <w:szCs w:val="20"/>
    </w:rPr>
  </w:style>
  <w:style w:type="paragraph" w:styleId="8">
    <w:name w:val="annotation text"/>
    <w:basedOn w:val="1"/>
    <w:link w:val="45"/>
    <w:autoRedefine/>
    <w:qFormat/>
    <w:uiPriority w:val="0"/>
    <w:pPr>
      <w:jc w:val="left"/>
    </w:pPr>
  </w:style>
  <w:style w:type="paragraph" w:styleId="9">
    <w:name w:val="Body Text"/>
    <w:basedOn w:val="1"/>
    <w:autoRedefine/>
    <w:qFormat/>
    <w:uiPriority w:val="1"/>
    <w:pPr>
      <w:spacing w:before="236"/>
      <w:ind w:left="113"/>
    </w:pPr>
    <w:rPr>
      <w:rFonts w:ascii="宋体" w:hAnsi="宋体" w:eastAsia="宋体"/>
      <w:sz w:val="28"/>
      <w:szCs w:val="28"/>
    </w:rPr>
  </w:style>
  <w:style w:type="paragraph" w:styleId="10">
    <w:name w:val="Plain Text"/>
    <w:basedOn w:val="1"/>
    <w:autoRedefine/>
    <w:qFormat/>
    <w:uiPriority w:val="99"/>
    <w:pPr>
      <w:spacing w:afterLines="50"/>
      <w:ind w:firstLine="720"/>
    </w:pPr>
    <w:rPr>
      <w:rFonts w:ascii="Calibri" w:hAnsi="Calibri" w:eastAsia="宋体"/>
      <w:sz w:val="24"/>
      <w:szCs w:val="21"/>
    </w:rPr>
  </w:style>
  <w:style w:type="paragraph" w:styleId="11">
    <w:name w:val="Balloon Text"/>
    <w:basedOn w:val="1"/>
    <w:link w:val="35"/>
    <w:qFormat/>
    <w:uiPriority w:val="0"/>
    <w:rPr>
      <w:sz w:val="18"/>
      <w:szCs w:val="18"/>
    </w:rPr>
  </w:style>
  <w:style w:type="paragraph" w:styleId="12">
    <w:name w:val="footer"/>
    <w:basedOn w:val="1"/>
    <w:link w:val="59"/>
    <w:autoRedefine/>
    <w:qFormat/>
    <w:uiPriority w:val="99"/>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style>
  <w:style w:type="paragraph" w:styleId="15">
    <w:name w:val="footnote text"/>
    <w:basedOn w:val="1"/>
    <w:autoRedefine/>
    <w:unhideWhenUsed/>
    <w:qFormat/>
    <w:uiPriority w:val="99"/>
    <w:pPr>
      <w:snapToGrid w:val="0"/>
      <w:jc w:val="left"/>
    </w:pPr>
    <w:rPr>
      <w:sz w:val="18"/>
      <w:szCs w:val="20"/>
    </w:rPr>
  </w:style>
  <w:style w:type="paragraph" w:styleId="16">
    <w:name w:val="toc 2"/>
    <w:basedOn w:val="1"/>
    <w:next w:val="1"/>
    <w:autoRedefine/>
    <w:qFormat/>
    <w:uiPriority w:val="39"/>
    <w:pPr>
      <w:ind w:left="420" w:leftChars="200"/>
    </w:pPr>
  </w:style>
  <w:style w:type="paragraph" w:styleId="17">
    <w:name w:val="Normal (Web)"/>
    <w:basedOn w:val="1"/>
    <w:autoRedefine/>
    <w:qFormat/>
    <w:uiPriority w:val="99"/>
    <w:pPr>
      <w:spacing w:beforeAutospacing="1" w:afterAutospacing="1"/>
      <w:jc w:val="left"/>
    </w:pPr>
    <w:rPr>
      <w:rFonts w:cs="Times New Roman"/>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rFonts w:ascii="Times New Roman Regular" w:hAnsi="Times New Roman Regular" w:eastAsia="仿宋" w:cs="Times New Roman Regular"/>
      <w:b/>
      <w:color w:val="000000" w:themeColor="text1"/>
      <w:spacing w:val="10"/>
      <w:sz w:val="30"/>
      <w:szCs w:val="28"/>
      <w:shd w:val="clear" w:color="auto" w:fill="FFFFFF"/>
      <w14:textFill>
        <w14:solidFill>
          <w14:schemeClr w14:val="tx1"/>
        </w14:solidFill>
      </w14:textFill>
    </w:rPr>
  </w:style>
  <w:style w:type="character" w:styleId="22">
    <w:name w:val="Hyperlink"/>
    <w:basedOn w:val="20"/>
    <w:unhideWhenUsed/>
    <w:qFormat/>
    <w:uiPriority w:val="99"/>
    <w:rPr>
      <w:color w:val="0000FF"/>
      <w:u w:val="single"/>
    </w:rPr>
  </w:style>
  <w:style w:type="character" w:styleId="23">
    <w:name w:val="footnote reference"/>
    <w:autoRedefine/>
    <w:unhideWhenUsed/>
    <w:qFormat/>
    <w:uiPriority w:val="99"/>
    <w:rPr>
      <w:vertAlign w:val="superscript"/>
    </w:rPr>
  </w:style>
  <w:style w:type="paragraph" w:customStyle="1" w:styleId="2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列表段落1"/>
    <w:basedOn w:val="1"/>
    <w:autoRedefine/>
    <w:qFormat/>
    <w:uiPriority w:val="99"/>
    <w:pPr>
      <w:ind w:firstLine="420" w:firstLineChars="200"/>
    </w:pPr>
    <w:rPr>
      <w:szCs w:val="20"/>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8">
    <w:name w:val="font11"/>
    <w:basedOn w:val="20"/>
    <w:autoRedefine/>
    <w:qFormat/>
    <w:uiPriority w:val="0"/>
    <w:rPr>
      <w:rFonts w:ascii="仿宋_GB2312" w:eastAsia="仿宋_GB2312" w:cs="仿宋_GB2312"/>
      <w:color w:val="000000"/>
      <w:sz w:val="24"/>
      <w:szCs w:val="24"/>
      <w:u w:val="none"/>
    </w:rPr>
  </w:style>
  <w:style w:type="character" w:customStyle="1" w:styleId="29">
    <w:name w:val="font21"/>
    <w:basedOn w:val="20"/>
    <w:autoRedefine/>
    <w:qFormat/>
    <w:uiPriority w:val="0"/>
    <w:rPr>
      <w:rFonts w:hint="default" w:ascii="Times New Roman" w:hAnsi="Times New Roman" w:cs="Times New Roman"/>
      <w:color w:val="000000"/>
      <w:sz w:val="24"/>
      <w:szCs w:val="24"/>
      <w:u w:val="none"/>
    </w:rPr>
  </w:style>
  <w:style w:type="character" w:customStyle="1" w:styleId="30">
    <w:name w:val="font31"/>
    <w:basedOn w:val="20"/>
    <w:autoRedefine/>
    <w:qFormat/>
    <w:uiPriority w:val="0"/>
    <w:rPr>
      <w:rFonts w:hint="default" w:ascii="Times New Roman" w:hAnsi="Times New Roman" w:cs="Times New Roman"/>
      <w:color w:val="000000"/>
      <w:sz w:val="24"/>
      <w:szCs w:val="24"/>
      <w:u w:val="none"/>
    </w:rPr>
  </w:style>
  <w:style w:type="paragraph" w:customStyle="1" w:styleId="31">
    <w:name w:val="正文11"/>
    <w:basedOn w:val="1"/>
    <w:autoRedefine/>
    <w:qFormat/>
    <w:uiPriority w:val="0"/>
    <w:pPr>
      <w:spacing w:line="360" w:lineRule="auto"/>
      <w:ind w:firstLine="1134"/>
    </w:pPr>
    <w:rPr>
      <w:rFonts w:ascii="宋体" w:hAnsi="宋体" w:cs="宋体"/>
      <w:sz w:val="18"/>
      <w:szCs w:val="18"/>
      <w:lang w:val="zh-TW" w:eastAsia="zh-TW" w:bidi="zh-TW"/>
    </w:rPr>
  </w:style>
  <w:style w:type="character" w:customStyle="1" w:styleId="32">
    <w:name w:val="font41"/>
    <w:basedOn w:val="20"/>
    <w:autoRedefine/>
    <w:qFormat/>
    <w:uiPriority w:val="0"/>
    <w:rPr>
      <w:rFonts w:hint="default" w:ascii="Times New Roman" w:hAnsi="Times New Roman" w:cs="Times New Roman"/>
      <w:color w:val="000000"/>
      <w:sz w:val="24"/>
      <w:szCs w:val="24"/>
      <w:u w:val="none"/>
    </w:rPr>
  </w:style>
  <w:style w:type="paragraph" w:customStyle="1" w:styleId="33">
    <w:name w:val="表格内文字"/>
    <w:basedOn w:val="1"/>
    <w:autoRedefine/>
    <w:qFormat/>
    <w:uiPriority w:val="0"/>
    <w:pPr>
      <w:jc w:val="center"/>
    </w:pPr>
  </w:style>
  <w:style w:type="character" w:customStyle="1" w:styleId="34">
    <w:name w:val="font51"/>
    <w:basedOn w:val="20"/>
    <w:autoRedefine/>
    <w:qFormat/>
    <w:uiPriority w:val="0"/>
    <w:rPr>
      <w:rFonts w:hint="eastAsia" w:ascii="宋体" w:hAnsi="宋体" w:eastAsia="宋体" w:cs="宋体"/>
      <w:color w:val="000000"/>
      <w:sz w:val="32"/>
      <w:szCs w:val="32"/>
      <w:u w:val="none"/>
      <w:vertAlign w:val="superscript"/>
    </w:rPr>
  </w:style>
  <w:style w:type="character" w:customStyle="1" w:styleId="35">
    <w:name w:val="批注框文本 字符"/>
    <w:basedOn w:val="20"/>
    <w:link w:val="11"/>
    <w:qFormat/>
    <w:uiPriority w:val="0"/>
    <w:rPr>
      <w:rFonts w:asciiTheme="minorHAnsi" w:hAnsiTheme="minorHAnsi" w:eastAsiaTheme="minorEastAsia" w:cstheme="minorBidi"/>
      <w:kern w:val="2"/>
      <w:sz w:val="18"/>
      <w:szCs w:val="18"/>
    </w:rPr>
  </w:style>
  <w:style w:type="paragraph" w:customStyle="1" w:styleId="36">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37">
    <w:name w:val="temp-li"/>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9">
    <w:name w:val="列出段落1"/>
    <w:basedOn w:val="1"/>
    <w:link w:val="40"/>
    <w:qFormat/>
    <w:uiPriority w:val="34"/>
    <w:pPr>
      <w:ind w:firstLine="420" w:firstLineChars="200"/>
    </w:pPr>
    <w:rPr>
      <w:rFonts w:ascii="Calibri" w:hAnsi="Calibri" w:eastAsia="宋体" w:cs="Times New Roman"/>
      <w:szCs w:val="22"/>
    </w:rPr>
  </w:style>
  <w:style w:type="character" w:customStyle="1" w:styleId="40">
    <w:name w:val="列出段落 Char"/>
    <w:link w:val="39"/>
    <w:qFormat/>
    <w:uiPriority w:val="34"/>
    <w:rPr>
      <w:rFonts w:ascii="Calibri" w:hAnsi="Calibri"/>
      <w:kern w:val="2"/>
      <w:sz w:val="21"/>
      <w:szCs w:val="22"/>
    </w:rPr>
  </w:style>
  <w:style w:type="character" w:customStyle="1" w:styleId="41">
    <w:name w:val="标题 2 字符"/>
    <w:basedOn w:val="20"/>
    <w:link w:val="4"/>
    <w:qFormat/>
    <w:uiPriority w:val="0"/>
    <w:rPr>
      <w:rFonts w:eastAsia="黑体" w:asciiTheme="majorHAnsi" w:hAnsiTheme="majorHAnsi" w:cstheme="majorBidi"/>
      <w:b/>
      <w:bCs/>
      <w:kern w:val="2"/>
      <w:sz w:val="30"/>
      <w:szCs w:val="32"/>
    </w:rPr>
  </w:style>
  <w:style w:type="character" w:customStyle="1" w:styleId="42">
    <w:name w:val="text_g9iim"/>
    <w:basedOn w:val="20"/>
    <w:qFormat/>
    <w:uiPriority w:val="0"/>
  </w:style>
  <w:style w:type="paragraph" w:customStyle="1" w:styleId="43">
    <w:name w:val="正文1"/>
    <w:basedOn w:val="1"/>
    <w:link w:val="44"/>
    <w:qFormat/>
    <w:uiPriority w:val="0"/>
    <w:pPr>
      <w:snapToGrid w:val="0"/>
      <w:spacing w:beforeLines="50" w:afterLines="50" w:line="300" w:lineRule="auto"/>
      <w:ind w:firstLine="560" w:firstLineChars="200"/>
    </w:pPr>
    <w:rPr>
      <w:rFonts w:ascii="Times New Roman" w:hAnsi="Times New Roman" w:eastAsia="宋体" w:cs="Times New Roman"/>
      <w:sz w:val="28"/>
      <w:szCs w:val="32"/>
    </w:rPr>
  </w:style>
  <w:style w:type="character" w:customStyle="1" w:styleId="44">
    <w:name w:val="正文1 字符"/>
    <w:link w:val="43"/>
    <w:qFormat/>
    <w:uiPriority w:val="0"/>
    <w:rPr>
      <w:kern w:val="2"/>
      <w:sz w:val="28"/>
      <w:szCs w:val="32"/>
    </w:rPr>
  </w:style>
  <w:style w:type="character" w:customStyle="1" w:styleId="45">
    <w:name w:val="批注文字 字符"/>
    <w:basedOn w:val="20"/>
    <w:link w:val="8"/>
    <w:qFormat/>
    <w:uiPriority w:val="0"/>
    <w:rPr>
      <w:rFonts w:asciiTheme="minorHAnsi" w:hAnsiTheme="minorHAnsi" w:eastAsiaTheme="minorEastAsia" w:cstheme="minorBidi"/>
      <w:kern w:val="2"/>
      <w:sz w:val="21"/>
      <w:szCs w:val="24"/>
    </w:rPr>
  </w:style>
  <w:style w:type="paragraph" w:customStyle="1" w:styleId="46">
    <w:name w:val="图表名"/>
    <w:basedOn w:val="1"/>
    <w:link w:val="47"/>
    <w:qFormat/>
    <w:uiPriority w:val="0"/>
    <w:pPr>
      <w:spacing w:line="360" w:lineRule="auto"/>
      <w:ind w:firstLine="560" w:firstLineChars="200"/>
      <w:jc w:val="center"/>
    </w:pPr>
    <w:rPr>
      <w:rFonts w:ascii="Times New Roman" w:hAnsi="Times New Roman" w:eastAsia="黑体"/>
      <w:sz w:val="24"/>
    </w:rPr>
  </w:style>
  <w:style w:type="character" w:customStyle="1" w:styleId="47">
    <w:name w:val="图表名 Char"/>
    <w:link w:val="46"/>
    <w:qFormat/>
    <w:uiPriority w:val="0"/>
    <w:rPr>
      <w:rFonts w:eastAsia="黑体" w:cstheme="minorBidi"/>
      <w:kern w:val="2"/>
      <w:sz w:val="24"/>
      <w:szCs w:val="24"/>
    </w:rPr>
  </w:style>
  <w:style w:type="paragraph" w:customStyle="1" w:styleId="48">
    <w:name w:val="图表内容"/>
    <w:basedOn w:val="1"/>
    <w:qFormat/>
    <w:uiPriority w:val="0"/>
    <w:pPr>
      <w:jc w:val="center"/>
    </w:pPr>
    <w:rPr>
      <w:rFonts w:ascii="Times New Roman" w:hAnsi="Times New Roman" w:eastAsia="宋体" w:cs="Wingdings 2"/>
      <w:sz w:val="18"/>
    </w:rPr>
  </w:style>
  <w:style w:type="paragraph" w:customStyle="1" w:styleId="49">
    <w:name w:val="表样式"/>
    <w:basedOn w:val="1"/>
    <w:next w:val="1"/>
    <w:qFormat/>
    <w:uiPriority w:val="0"/>
    <w:pPr>
      <w:autoSpaceDE w:val="0"/>
      <w:autoSpaceDN w:val="0"/>
      <w:adjustRightInd w:val="0"/>
      <w:jc w:val="center"/>
    </w:pPr>
    <w:rPr>
      <w:rFonts w:ascii="Times New Roman" w:hAnsi="Times New Roman" w:eastAsia="宋体" w:cs="宋体"/>
      <w:bCs/>
      <w:color w:val="000000"/>
      <w:kern w:val="0"/>
      <w:szCs w:val="21"/>
    </w:rPr>
  </w:style>
  <w:style w:type="paragraph" w:customStyle="1" w:styleId="50">
    <w:name w:val="图表标题"/>
    <w:basedOn w:val="1"/>
    <w:link w:val="51"/>
    <w:qFormat/>
    <w:uiPriority w:val="0"/>
    <w:pPr>
      <w:spacing w:before="50" w:beforeLines="50"/>
      <w:jc w:val="center"/>
    </w:pPr>
    <w:rPr>
      <w:rFonts w:ascii="Times New Roman" w:hAnsi="Times New Roman" w:eastAsia="宋体" w:cs="Times New Roman"/>
      <w:b/>
      <w:sz w:val="24"/>
      <w:szCs w:val="21"/>
    </w:rPr>
  </w:style>
  <w:style w:type="character" w:customStyle="1" w:styleId="51">
    <w:name w:val="图表标题 Char"/>
    <w:link w:val="50"/>
    <w:qFormat/>
    <w:uiPriority w:val="0"/>
    <w:rPr>
      <w:b/>
      <w:kern w:val="2"/>
      <w:sz w:val="24"/>
      <w:szCs w:val="21"/>
    </w:rPr>
  </w:style>
  <w:style w:type="paragraph" w:customStyle="1" w:styleId="52">
    <w:name w:val="我的正文"/>
    <w:basedOn w:val="1"/>
    <w:link w:val="53"/>
    <w:qFormat/>
    <w:uiPriority w:val="0"/>
    <w:pPr>
      <w:snapToGrid w:val="0"/>
      <w:spacing w:line="360" w:lineRule="auto"/>
      <w:ind w:firstLine="200" w:firstLineChars="200"/>
    </w:pPr>
    <w:rPr>
      <w:rFonts w:ascii="Times New Roman" w:hAnsi="Times New Roman" w:eastAsia="宋体" w:cs="Times New Roman"/>
      <w:sz w:val="24"/>
      <w:szCs w:val="21"/>
    </w:rPr>
  </w:style>
  <w:style w:type="character" w:customStyle="1" w:styleId="53">
    <w:name w:val="我的正文 字符"/>
    <w:link w:val="52"/>
    <w:qFormat/>
    <w:uiPriority w:val="0"/>
    <w:rPr>
      <w:kern w:val="2"/>
      <w:sz w:val="24"/>
      <w:szCs w:val="21"/>
    </w:rPr>
  </w:style>
  <w:style w:type="character" w:customStyle="1" w:styleId="54">
    <w:name w:val="列表段落 字符"/>
    <w:link w:val="55"/>
    <w:qFormat/>
    <w:locked/>
    <w:uiPriority w:val="34"/>
    <w:rPr>
      <w:rFonts w:ascii="Calibri" w:hAnsi="Calibri" w:cs="Calibri"/>
      <w:kern w:val="2"/>
      <w:sz w:val="21"/>
      <w:szCs w:val="22"/>
    </w:rPr>
  </w:style>
  <w:style w:type="paragraph" w:styleId="55">
    <w:name w:val="List Paragraph"/>
    <w:basedOn w:val="1"/>
    <w:link w:val="54"/>
    <w:qFormat/>
    <w:uiPriority w:val="34"/>
    <w:pPr>
      <w:ind w:firstLine="420" w:firstLineChars="200"/>
    </w:pPr>
    <w:rPr>
      <w:rFonts w:ascii="Calibri" w:hAnsi="Calibri" w:eastAsia="宋体" w:cs="Calibri"/>
      <w:szCs w:val="22"/>
    </w:rPr>
  </w:style>
  <w:style w:type="paragraph" w:customStyle="1" w:styleId="56">
    <w:name w:val="Table Paragraph"/>
    <w:basedOn w:val="1"/>
    <w:qFormat/>
    <w:uiPriority w:val="1"/>
    <w:pPr>
      <w:autoSpaceDE w:val="0"/>
      <w:autoSpaceDN w:val="0"/>
      <w:adjustRightInd w:val="0"/>
      <w:jc w:val="left"/>
    </w:pPr>
    <w:rPr>
      <w:rFonts w:ascii="Times New Roman" w:hAnsi="Times New Roman" w:cs="Times New Roman"/>
      <w:kern w:val="0"/>
      <w:sz w:val="24"/>
    </w:rPr>
  </w:style>
  <w:style w:type="paragraph" w:customStyle="1" w:styleId="57">
    <w:name w:val="_Style 56"/>
    <w:basedOn w:val="1"/>
    <w:next w:val="55"/>
    <w:qFormat/>
    <w:uiPriority w:val="99"/>
    <w:pPr>
      <w:ind w:firstLine="420" w:firstLineChars="200"/>
    </w:pPr>
    <w:rPr>
      <w:rFonts w:ascii="Calibri" w:hAnsi="Calibri" w:eastAsia="宋体" w:cs="Times New Roman"/>
      <w:szCs w:val="22"/>
    </w:rPr>
  </w:style>
  <w:style w:type="paragraph" w:customStyle="1" w:styleId="58">
    <w:name w:val="msolistparagraph"/>
    <w:basedOn w:val="1"/>
    <w:qFormat/>
    <w:uiPriority w:val="0"/>
    <w:pPr>
      <w:ind w:firstLine="420" w:firstLineChars="200"/>
    </w:pPr>
    <w:rPr>
      <w:rFonts w:ascii="Calibri" w:hAnsi="Calibri" w:eastAsia="宋体" w:cs="Times New Roman"/>
      <w:szCs w:val="22"/>
    </w:rPr>
  </w:style>
  <w:style w:type="character" w:customStyle="1" w:styleId="59">
    <w:name w:val="页脚 字符"/>
    <w:basedOn w:val="20"/>
    <w:link w:val="12"/>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99C58-2C30-4E11-9594-16C6612203EC}">
  <ds:schemaRefs/>
</ds:datastoreItem>
</file>

<file path=docProps/app.xml><?xml version="1.0" encoding="utf-8"?>
<Properties xmlns="http://schemas.openxmlformats.org/officeDocument/2006/extended-properties" xmlns:vt="http://schemas.openxmlformats.org/officeDocument/2006/docPropsVTypes">
  <Template>Normal</Template>
  <Pages>85</Pages>
  <Words>35962</Words>
  <Characters>44771</Characters>
  <Lines>381</Lines>
  <Paragraphs>107</Paragraphs>
  <TotalTime>230</TotalTime>
  <ScaleCrop>false</ScaleCrop>
  <LinksUpToDate>false</LinksUpToDate>
  <CharactersWithSpaces>47279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2025-02-14T01:04:00Z</dcterms:created>
  <dc:creator>云在青天水在瓶</dc:creator>
  <cp:lastModifiedBy>烟妹妹</cp:lastModifiedBy>
  <cp:lastPrinted>2025-03-07T01:17:03Z</cp:lastPrinted>
  <dcterms:modified xsi:type="dcterms:W3CDTF">2025-03-07T03:31:24Z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0C603A0D47EC41719A0FFB289FC207E2_13</vt:lpwstr>
  </property>
  <property fmtid="{D5CDD505-2E9C-101B-9397-08002B2CF9AE}" pid="4" name="KSOTemplateDocerSaveRecord">
    <vt:lpwstr>eyJoZGlkIjoiOWFhMmRmNzEyOTdjNGMwMDE1NmFlNDA4ZTQ0YmRmYjgiLCJ1c2VySWQiOiI2MTQ2MzkxNzAifQ==</vt:lpwstr>
  </property>
</Properties>
</file>