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潮州市湘桥区2021年预算执行情况和</w:t>
      </w:r>
    </w:p>
    <w:p>
      <w:pPr>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2022年预算草案的报告（初稿）</w:t>
      </w:r>
    </w:p>
    <w:p>
      <w:pPr>
        <w:spacing w:line="600" w:lineRule="exact"/>
        <w:ind w:firstLine="480" w:firstLineChars="150"/>
        <w:jc w:val="center"/>
        <w:rPr>
          <w:rFonts w:ascii="仿宋_GB2312" w:hAnsi="仿宋"/>
          <w:szCs w:val="32"/>
        </w:rPr>
      </w:pPr>
    </w:p>
    <w:p>
      <w:pPr>
        <w:spacing w:line="600" w:lineRule="exact"/>
        <w:jc w:val="center"/>
        <w:rPr>
          <w:rFonts w:ascii="仿宋_GB2312" w:hAnsi="仿宋"/>
          <w:szCs w:val="32"/>
        </w:rPr>
      </w:pPr>
      <w:r>
        <w:rPr>
          <w:rFonts w:hint="eastAsia" w:ascii="仿宋_GB2312" w:hAnsi="仿宋"/>
          <w:szCs w:val="32"/>
        </w:rPr>
        <w:t>湘桥区财政局局长  蔡卫彬</w:t>
      </w:r>
    </w:p>
    <w:p>
      <w:pPr>
        <w:spacing w:line="600" w:lineRule="exact"/>
        <w:jc w:val="center"/>
        <w:rPr>
          <w:rFonts w:ascii="仿宋_GB2312" w:hAnsi="仿宋"/>
          <w:szCs w:val="32"/>
        </w:rPr>
      </w:pPr>
      <w:r>
        <w:rPr>
          <w:rFonts w:hint="eastAsia" w:ascii="仿宋_GB2312" w:hAnsi="仿宋"/>
          <w:szCs w:val="32"/>
        </w:rPr>
        <w:t>(2022年3月28日)</w:t>
      </w:r>
    </w:p>
    <w:p>
      <w:pPr>
        <w:spacing w:beforeLines="100" w:line="600" w:lineRule="exact"/>
        <w:rPr>
          <w:rFonts w:ascii="仿宋_GB2312" w:hAnsi="仿宋"/>
          <w:szCs w:val="32"/>
        </w:rPr>
      </w:pPr>
      <w:r>
        <w:rPr>
          <w:rFonts w:hint="eastAsia" w:ascii="仿宋_GB2312" w:hAnsi="仿宋"/>
          <w:szCs w:val="32"/>
        </w:rPr>
        <w:t>各位代表：</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受潮州市湘桥区人民政府的委托，现将潮州市湘桥区2021年预算执行情况和2022年预算草案提请区第七届人大   二次会议审议。</w:t>
      </w:r>
    </w:p>
    <w:p>
      <w:pPr>
        <w:spacing w:line="600" w:lineRule="exact"/>
        <w:ind w:firstLine="643" w:firstLineChars="200"/>
        <w:rPr>
          <w:rFonts w:ascii="仿宋_GB2312" w:hAnsi="黑体"/>
          <w:b/>
          <w:szCs w:val="32"/>
        </w:rPr>
      </w:pPr>
      <w:r>
        <w:rPr>
          <w:rFonts w:hint="eastAsia" w:ascii="仿宋_GB2312" w:hAnsi="黑体"/>
          <w:b/>
          <w:szCs w:val="32"/>
        </w:rPr>
        <w:t>一、2021年预算执行情况</w:t>
      </w:r>
    </w:p>
    <w:p>
      <w:pPr>
        <w:spacing w:line="600" w:lineRule="exact"/>
        <w:ind w:firstLine="643" w:firstLineChars="200"/>
        <w:rPr>
          <w:rFonts w:ascii="仿宋_GB2312" w:hAnsi="宋体"/>
          <w:b/>
          <w:szCs w:val="32"/>
        </w:rPr>
      </w:pPr>
      <w:r>
        <w:rPr>
          <w:rFonts w:hint="eastAsia" w:ascii="仿宋_GB2312" w:hAnsi="宋体"/>
          <w:b/>
          <w:szCs w:val="32"/>
        </w:rPr>
        <w:t>（一）一般公共预算执行情况</w:t>
      </w:r>
    </w:p>
    <w:p>
      <w:pPr>
        <w:spacing w:line="600" w:lineRule="exact"/>
        <w:ind w:firstLine="640" w:firstLineChars="200"/>
        <w:rPr>
          <w:rFonts w:ascii="仿宋_GB2312" w:hAnsi="仿宋"/>
          <w:szCs w:val="32"/>
        </w:rPr>
      </w:pPr>
      <w:r>
        <w:rPr>
          <w:rFonts w:hint="eastAsia" w:ascii="仿宋_GB2312" w:hAnsi="仿宋"/>
          <w:szCs w:val="32"/>
        </w:rPr>
        <w:t>——收入预算执行情况。</w:t>
      </w:r>
    </w:p>
    <w:p>
      <w:pPr>
        <w:spacing w:line="600" w:lineRule="exact"/>
        <w:ind w:firstLine="640" w:firstLineChars="200"/>
        <w:rPr>
          <w:rFonts w:ascii="仿宋_GB2312" w:hAnsi="仿宋"/>
          <w:szCs w:val="32"/>
        </w:rPr>
      </w:pPr>
      <w:r>
        <w:rPr>
          <w:rFonts w:hint="eastAsia" w:ascii="仿宋_GB2312" w:hAnsi="仿宋"/>
          <w:szCs w:val="32"/>
        </w:rPr>
        <w:t>2021年，区级一般公共预算收入48800万元，完成年度预算的100.5%，比上年增长8.58%。</w:t>
      </w:r>
    </w:p>
    <w:p>
      <w:pPr>
        <w:spacing w:line="600" w:lineRule="exact"/>
        <w:ind w:firstLine="640" w:firstLineChars="200"/>
        <w:rPr>
          <w:rFonts w:ascii="仿宋_GB2312" w:hAnsi="仿宋"/>
          <w:szCs w:val="32"/>
        </w:rPr>
      </w:pPr>
      <w:r>
        <w:rPr>
          <w:rFonts w:hint="eastAsia" w:ascii="仿宋_GB2312" w:hAnsi="仿宋"/>
          <w:szCs w:val="32"/>
        </w:rPr>
        <w:t>按主要税种划分。增值税收入9849万元，增长24.03%；企业所得税收入3899万元，下降7.23%；个人所得税收入1020万元，增长7.14%；中小税种收入21751万元，下降9.84%。</w:t>
      </w:r>
    </w:p>
    <w:p>
      <w:pPr>
        <w:spacing w:line="600" w:lineRule="exact"/>
        <w:ind w:firstLine="640" w:firstLineChars="200"/>
        <w:rPr>
          <w:rFonts w:ascii="仿宋_GB2312" w:hAnsi="仿宋"/>
          <w:szCs w:val="32"/>
        </w:rPr>
      </w:pPr>
      <w:r>
        <w:rPr>
          <w:rFonts w:hint="eastAsia" w:ascii="仿宋_GB2312" w:hAnsi="仿宋"/>
          <w:szCs w:val="32"/>
        </w:rPr>
        <w:t>按税收与非税收入占比划分。税收收入36519万元，下降1.88%，占一般公共预算收入的74.83%；非税收入12281万元，增长58.98%，占一般公共预算收入的25.17%。</w:t>
      </w:r>
    </w:p>
    <w:p>
      <w:pPr>
        <w:spacing w:line="600" w:lineRule="exact"/>
        <w:ind w:firstLine="640" w:firstLineChars="200"/>
        <w:rPr>
          <w:rFonts w:ascii="仿宋_GB2312" w:hAnsi="仿宋"/>
          <w:color w:val="000000"/>
          <w:szCs w:val="32"/>
        </w:rPr>
      </w:pPr>
      <w:r>
        <w:rPr>
          <w:rFonts w:hint="eastAsia" w:ascii="仿宋_GB2312" w:hAnsi="仿宋"/>
          <w:szCs w:val="32"/>
        </w:rPr>
        <w:t>区级一般公共预算收入48800万元，加上上级税收返还和转移支付补助收入147569万元、债务转贷收入36500万元、上年结转26956万元、动用预算稳定调节基金409万元和调入资金19739万元，2021年区级一般公共预算总收入  279973万元。</w:t>
      </w:r>
    </w:p>
    <w:p>
      <w:pPr>
        <w:spacing w:line="600" w:lineRule="exact"/>
        <w:ind w:firstLine="640" w:firstLineChars="200"/>
        <w:rPr>
          <w:rFonts w:ascii="仿宋_GB2312" w:hAnsi="仿宋"/>
          <w:szCs w:val="32"/>
        </w:rPr>
      </w:pPr>
      <w:r>
        <w:rPr>
          <w:rFonts w:hint="eastAsia" w:ascii="仿宋_GB2312" w:hAnsi="仿宋"/>
          <w:szCs w:val="32"/>
        </w:rPr>
        <w:t>——支出预算执行情况。</w:t>
      </w:r>
    </w:p>
    <w:p>
      <w:pPr>
        <w:spacing w:line="600" w:lineRule="exact"/>
        <w:ind w:firstLine="640" w:firstLineChars="200"/>
        <w:rPr>
          <w:rFonts w:ascii="仿宋_GB2312" w:hAnsi="仿宋"/>
          <w:szCs w:val="32"/>
        </w:rPr>
      </w:pPr>
      <w:r>
        <w:rPr>
          <w:rFonts w:hint="eastAsia" w:ascii="仿宋_GB2312" w:hAnsi="仿宋"/>
          <w:szCs w:val="32"/>
        </w:rPr>
        <w:t>2021年区级一般公共预算支出245472万元，完成年度预算的95%，比上年同期增支8083万元,增长3.4%。主要执行情况（按支出科目划分）：</w:t>
      </w:r>
    </w:p>
    <w:p>
      <w:pPr>
        <w:spacing w:line="600" w:lineRule="exact"/>
        <w:ind w:firstLine="640" w:firstLineChars="200"/>
        <w:rPr>
          <w:rFonts w:ascii="仿宋_GB2312" w:hAnsi="仿宋"/>
          <w:szCs w:val="32"/>
        </w:rPr>
      </w:pPr>
      <w:r>
        <w:rPr>
          <w:rFonts w:hint="eastAsia" w:ascii="仿宋_GB2312" w:hAnsi="仿宋"/>
          <w:szCs w:val="32"/>
        </w:rPr>
        <w:t>一般公共服务支出21414万元，完成预算的103%；教育支出63714万元，完成预算的92%；科学技术支出703万元，完成预算的88%；文化旅游体育与传媒支出2776万元，完成预算的116%；社会保障和就业支出41873万元，完成预算的99%；卫生健康支出39810万元，完成预算的104%；节能环保支出3168万元，完成预算的126%；城乡社区支出12484万元，完成预算的115%；农林水支出25902万元，完成预算的98%；交通运输支出4417万元，完成预算的91%；住房保障支出1607万元，完成预算的112%；灾害防治及应急管理支出1576万元，完成预算的88%。</w:t>
      </w:r>
    </w:p>
    <w:p>
      <w:pPr>
        <w:spacing w:line="600" w:lineRule="exact"/>
        <w:ind w:firstLine="640" w:firstLineChars="200"/>
        <w:rPr>
          <w:rFonts w:ascii="仿宋_GB2312" w:hAnsi="仿宋"/>
          <w:szCs w:val="32"/>
        </w:rPr>
      </w:pPr>
      <w:r>
        <w:rPr>
          <w:rFonts w:hint="eastAsia" w:ascii="仿宋_GB2312" w:hAnsi="仿宋"/>
          <w:szCs w:val="32"/>
        </w:rPr>
        <w:t>个别支出科目完成年度预算比例较高的主要原因是年初预算安排的本级支出，部分省提前下达及市安排的专项资金在年度执行过程中根据实际分配情况调整，相应增加支出。</w:t>
      </w:r>
    </w:p>
    <w:p>
      <w:pPr>
        <w:spacing w:line="600" w:lineRule="exact"/>
        <w:ind w:firstLine="640" w:firstLineChars="200"/>
        <w:rPr>
          <w:rFonts w:ascii="仿宋_GB2312" w:hAnsi="仿宋"/>
          <w:szCs w:val="32"/>
        </w:rPr>
      </w:pPr>
      <w:r>
        <w:rPr>
          <w:rFonts w:hint="eastAsia" w:ascii="仿宋_GB2312" w:hAnsi="仿宋"/>
          <w:szCs w:val="32"/>
        </w:rPr>
        <w:t>区级一般公共预算支出245472万元，加上上解上级支出8324万元、安排预算稳定调节基金5080万元，2021年区级一般公共预算总支出258876万元。</w:t>
      </w:r>
    </w:p>
    <w:p>
      <w:pPr>
        <w:spacing w:line="600" w:lineRule="exact"/>
        <w:ind w:firstLine="640" w:firstLineChars="200"/>
        <w:rPr>
          <w:rFonts w:ascii="仿宋_GB2312" w:hAnsi="仿宋"/>
          <w:szCs w:val="32"/>
        </w:rPr>
      </w:pPr>
      <w:r>
        <w:rPr>
          <w:rFonts w:hint="eastAsia" w:ascii="仿宋_GB2312" w:hAnsi="仿宋"/>
          <w:szCs w:val="32"/>
        </w:rPr>
        <w:t>收支相抵，年终滚存结转21097万元。</w:t>
      </w:r>
    </w:p>
    <w:p>
      <w:pPr>
        <w:spacing w:line="600" w:lineRule="exact"/>
        <w:ind w:firstLine="643" w:firstLineChars="200"/>
        <w:rPr>
          <w:rFonts w:ascii="仿宋_GB2312" w:hAnsi="宋体"/>
          <w:b/>
          <w:szCs w:val="32"/>
        </w:rPr>
      </w:pPr>
      <w:r>
        <w:rPr>
          <w:rFonts w:hint="eastAsia" w:ascii="仿宋_GB2312" w:hAnsi="宋体"/>
          <w:b/>
          <w:szCs w:val="32"/>
        </w:rPr>
        <w:t>（二）政府性基金预算执行情况</w:t>
      </w:r>
    </w:p>
    <w:p>
      <w:pPr>
        <w:spacing w:line="600" w:lineRule="exact"/>
        <w:ind w:firstLine="640" w:firstLineChars="200"/>
        <w:rPr>
          <w:rFonts w:ascii="仿宋_GB2312" w:hAnsi="仿宋"/>
          <w:color w:val="FF0000"/>
          <w:szCs w:val="32"/>
        </w:rPr>
      </w:pPr>
      <w:r>
        <w:rPr>
          <w:rFonts w:hint="eastAsia" w:ascii="仿宋_GB2312" w:hAnsi="仿宋"/>
          <w:szCs w:val="32"/>
        </w:rPr>
        <w:t>2021年，上级补助收入20680万元、上年结转3245万元、债务转贷收入75400万元和再融资债券收入15000万元，区级政府性基金总收入114325万元。</w:t>
      </w:r>
    </w:p>
    <w:p>
      <w:pPr>
        <w:spacing w:line="600" w:lineRule="exact"/>
        <w:ind w:firstLine="640" w:firstLineChars="200"/>
        <w:rPr>
          <w:rFonts w:ascii="仿宋_GB2312" w:hAnsi="仿宋"/>
          <w:szCs w:val="32"/>
        </w:rPr>
      </w:pPr>
      <w:r>
        <w:rPr>
          <w:rFonts w:hint="eastAsia" w:ascii="仿宋_GB2312" w:hAnsi="仿宋"/>
          <w:szCs w:val="32"/>
        </w:rPr>
        <w:t>2021年政府性基金预算支出86252万元，完成年度预算的99%。其中：文化旅游体育与传媒支出4万元，社会保障和就业支出64万元，城乡社区支出7976万元，其他支出75758万元，债务付息支出2356万元，债务发行费用支出15万元、抗疫特别国债安排的支出79万元。</w:t>
      </w:r>
    </w:p>
    <w:p>
      <w:pPr>
        <w:spacing w:line="600" w:lineRule="exact"/>
        <w:ind w:firstLine="640" w:firstLineChars="200"/>
        <w:rPr>
          <w:rFonts w:ascii="仿宋_GB2312" w:hAnsi="仿宋"/>
          <w:szCs w:val="32"/>
        </w:rPr>
      </w:pPr>
      <w:r>
        <w:rPr>
          <w:rFonts w:hint="eastAsia" w:ascii="仿宋_GB2312" w:hAnsi="仿宋"/>
          <w:szCs w:val="32"/>
        </w:rPr>
        <w:t>区级政府性基金预算支出86252万元，加上债券还本支出15000万元和调出资金10167万元，区级政府性基金总支出111419万元。</w:t>
      </w:r>
    </w:p>
    <w:p>
      <w:pPr>
        <w:spacing w:line="600" w:lineRule="exact"/>
        <w:ind w:firstLine="640" w:firstLineChars="200"/>
        <w:rPr>
          <w:rFonts w:ascii="仿宋_GB2312" w:hAnsi="仿宋"/>
          <w:szCs w:val="32"/>
        </w:rPr>
      </w:pPr>
      <w:r>
        <w:rPr>
          <w:rFonts w:hint="eastAsia" w:ascii="仿宋_GB2312" w:hAnsi="仿宋"/>
          <w:szCs w:val="32"/>
        </w:rPr>
        <w:t>收支相抵，年终结转2906万元。</w:t>
      </w:r>
    </w:p>
    <w:p>
      <w:pPr>
        <w:spacing w:line="600" w:lineRule="exact"/>
        <w:ind w:firstLine="643" w:firstLineChars="200"/>
        <w:rPr>
          <w:rFonts w:ascii="仿宋_GB2312" w:hAnsi="宋体"/>
          <w:b/>
          <w:szCs w:val="32"/>
        </w:rPr>
      </w:pPr>
      <w:r>
        <w:rPr>
          <w:rFonts w:hint="eastAsia" w:ascii="仿宋_GB2312" w:hAnsi="宋体"/>
          <w:b/>
          <w:szCs w:val="32"/>
        </w:rPr>
        <w:t>（三）国有资本经营预算执行情况</w:t>
      </w:r>
    </w:p>
    <w:p>
      <w:pPr>
        <w:spacing w:line="600" w:lineRule="exact"/>
        <w:ind w:firstLine="640" w:firstLineChars="200"/>
        <w:rPr>
          <w:rFonts w:ascii="仿宋_GB2312" w:hAnsi="仿宋"/>
          <w:szCs w:val="32"/>
        </w:rPr>
      </w:pPr>
      <w:r>
        <w:rPr>
          <w:rFonts w:hint="eastAsia" w:ascii="仿宋_GB2312" w:hAnsi="仿宋"/>
          <w:szCs w:val="32"/>
        </w:rPr>
        <w:t>2021年国有资本经营预算收入30万元，其中：其他国有资本经营预算收入30万元，加上上级补助收入175万元，区级国有资本经营预算总收入205万元。</w:t>
      </w:r>
    </w:p>
    <w:p>
      <w:pPr>
        <w:spacing w:line="600" w:lineRule="exact"/>
        <w:ind w:firstLine="640" w:firstLineChars="200"/>
        <w:rPr>
          <w:rFonts w:ascii="仿宋_GB2312" w:hAnsi="仿宋"/>
          <w:szCs w:val="32"/>
        </w:rPr>
      </w:pPr>
      <w:r>
        <w:rPr>
          <w:rFonts w:hint="eastAsia" w:ascii="仿宋_GB2312" w:hAnsi="仿宋"/>
          <w:szCs w:val="32"/>
        </w:rPr>
        <w:t>2021年国有资本经营预算支出49万元， 其中：解决历史遗留问题及改革成本支出19万元，其他国有资本经营预算支出30万元。区级国有资本经营预算总支出49万元。</w:t>
      </w:r>
    </w:p>
    <w:p>
      <w:pPr>
        <w:spacing w:line="600" w:lineRule="exact"/>
        <w:ind w:firstLine="640" w:firstLineChars="200"/>
        <w:rPr>
          <w:rFonts w:ascii="仿宋_GB2312" w:hAnsi="仿宋"/>
          <w:szCs w:val="32"/>
        </w:rPr>
      </w:pPr>
      <w:r>
        <w:rPr>
          <w:rFonts w:hint="eastAsia" w:ascii="仿宋_GB2312" w:hAnsi="仿宋"/>
          <w:szCs w:val="32"/>
        </w:rPr>
        <w:t>收支相抵，年终结转156万元。</w:t>
      </w:r>
    </w:p>
    <w:p>
      <w:pPr>
        <w:spacing w:line="600" w:lineRule="exact"/>
        <w:ind w:firstLine="643" w:firstLineChars="200"/>
        <w:rPr>
          <w:rFonts w:ascii="仿宋_GB2312" w:hAnsi="宋体"/>
          <w:b/>
          <w:szCs w:val="32"/>
        </w:rPr>
      </w:pPr>
      <w:r>
        <w:rPr>
          <w:rFonts w:hint="eastAsia" w:ascii="仿宋_GB2312" w:hAnsi="宋体"/>
          <w:b/>
          <w:szCs w:val="32"/>
        </w:rPr>
        <w:t>（四）社会保险基金预算执行情况</w:t>
      </w:r>
    </w:p>
    <w:p>
      <w:pPr>
        <w:spacing w:line="600" w:lineRule="exact"/>
        <w:ind w:firstLine="640" w:firstLineChars="200"/>
        <w:rPr>
          <w:rFonts w:ascii="仿宋_GB2312" w:hAnsi="仿宋"/>
          <w:szCs w:val="32"/>
        </w:rPr>
      </w:pPr>
      <w:r>
        <w:rPr>
          <w:rFonts w:hint="eastAsia" w:ascii="仿宋_GB2312" w:hAnsi="仿宋"/>
          <w:szCs w:val="32"/>
        </w:rPr>
        <w:t>2021年全区社会保险基金决算总收入63565万元，完成年度预算的94.92%。其中：机关事业单位基本养老保险基金20113万元，完成年度预算的106%；职工基本医疗保险（含生育保险）基金18462万元，完成年度预算的105%；城乡居民基本医疗保险基金24990万元，完成年度预算的82.54%；</w:t>
      </w:r>
    </w:p>
    <w:p>
      <w:pPr>
        <w:spacing w:line="600" w:lineRule="exact"/>
        <w:ind w:firstLine="640" w:firstLineChars="200"/>
        <w:rPr>
          <w:rFonts w:ascii="仿宋_GB2312" w:hAnsi="仿宋"/>
          <w:szCs w:val="32"/>
        </w:rPr>
      </w:pPr>
      <w:r>
        <w:rPr>
          <w:rFonts w:hint="eastAsia" w:ascii="仿宋_GB2312" w:hAnsi="仿宋"/>
          <w:szCs w:val="32"/>
        </w:rPr>
        <w:t>2021年全区社会保险基金决算总支出57351万元，完成年度预算的85.64%。其中：机关事业单位基本养老保险基金19817万元，完成年度预算的105%；职工基本医疗保险（含生育保险）基金15966万元，完成年度预算的90%；城乡居民基本医疗保险基金21568万元，完成年度预算的71%。</w:t>
      </w:r>
    </w:p>
    <w:p>
      <w:pPr>
        <w:spacing w:line="600" w:lineRule="exact"/>
        <w:ind w:firstLine="640" w:firstLineChars="200"/>
        <w:rPr>
          <w:rFonts w:ascii="仿宋_GB2312" w:hAnsi="仿宋"/>
          <w:szCs w:val="32"/>
        </w:rPr>
      </w:pPr>
      <w:r>
        <w:rPr>
          <w:rFonts w:hint="eastAsia" w:ascii="仿宋_GB2312" w:hAnsi="仿宋"/>
          <w:szCs w:val="32"/>
        </w:rPr>
        <w:t>收支相抵，本年收支结余6214万元，年末滚存结余16659万元。</w:t>
      </w:r>
    </w:p>
    <w:p>
      <w:pPr>
        <w:spacing w:line="600" w:lineRule="exact"/>
        <w:ind w:firstLine="643" w:firstLineChars="200"/>
        <w:rPr>
          <w:rFonts w:ascii="仿宋_GB2312" w:hAnsi="仿宋"/>
          <w:b/>
          <w:szCs w:val="32"/>
        </w:rPr>
      </w:pPr>
      <w:r>
        <w:rPr>
          <w:rFonts w:hint="eastAsia" w:ascii="仿宋_GB2312" w:hAnsi="仿宋"/>
          <w:b/>
          <w:szCs w:val="32"/>
        </w:rPr>
        <w:t>（五）地方政府债务情况</w:t>
      </w:r>
    </w:p>
    <w:p>
      <w:pPr>
        <w:spacing w:line="600" w:lineRule="exact"/>
        <w:ind w:firstLine="640" w:firstLineChars="200"/>
        <w:rPr>
          <w:rFonts w:ascii="仿宋_GB2312" w:hAnsi="黑体"/>
          <w:szCs w:val="32"/>
        </w:rPr>
      </w:pPr>
      <w:r>
        <w:rPr>
          <w:rFonts w:hint="eastAsia" w:ascii="仿宋_GB2312" w:hAnsi="黑体"/>
          <w:szCs w:val="32"/>
        </w:rPr>
        <w:t>1.地方政府债务限额余额情况。上级批准2021年我区地方政府债务限额262095.8万元，比上年增加110606.17万元，其中：一般债务限额122695.8万元，专项债务限额139400万元。2021年全区地方政府债务余额262095.8万元，控制在债务限额之内，其中：一般债务122695.8万元，专项债务139400万元。</w:t>
      </w:r>
    </w:p>
    <w:p>
      <w:pPr>
        <w:spacing w:line="600" w:lineRule="exact"/>
        <w:ind w:firstLine="640" w:firstLineChars="200"/>
        <w:rPr>
          <w:rFonts w:ascii="仿宋_GB2312" w:hAnsi="黑体"/>
          <w:szCs w:val="32"/>
        </w:rPr>
      </w:pPr>
      <w:r>
        <w:rPr>
          <w:rFonts w:hint="eastAsia" w:ascii="仿宋_GB2312" w:hAnsi="黑体"/>
          <w:szCs w:val="32"/>
        </w:rPr>
        <w:t>2.地方政府债务还本付息情况。2021年按照偿债计划，将债务还本付息支出列入相应预算体系安排。2021年我区支付专项债券本金15000万（通过再融资债券安排）、支付地方政府债券利息5518万元，其中：一般债券利息3162万元，专项债券利息2356万元。</w:t>
      </w:r>
    </w:p>
    <w:p>
      <w:pPr>
        <w:spacing w:line="600" w:lineRule="exact"/>
        <w:ind w:firstLine="643" w:firstLineChars="200"/>
        <w:rPr>
          <w:rFonts w:ascii="仿宋_GB2312" w:hAnsi="黑体"/>
          <w:b/>
          <w:szCs w:val="32"/>
        </w:rPr>
      </w:pPr>
      <w:r>
        <w:rPr>
          <w:rFonts w:hint="eastAsia" w:ascii="仿宋_GB2312" w:hAnsi="黑体"/>
          <w:b/>
          <w:szCs w:val="32"/>
        </w:rPr>
        <w:t>二、2021年财政工作主要情况</w:t>
      </w:r>
    </w:p>
    <w:p>
      <w:pPr>
        <w:spacing w:line="600" w:lineRule="exact"/>
        <w:ind w:firstLine="640" w:firstLineChars="200"/>
        <w:rPr>
          <w:rFonts w:ascii="仿宋_GB2312"/>
          <w:szCs w:val="32"/>
        </w:rPr>
      </w:pPr>
      <w:r>
        <w:rPr>
          <w:rFonts w:hint="eastAsia" w:ascii="仿宋_GB2312"/>
          <w:szCs w:val="32"/>
        </w:rPr>
        <w:t>2021年是党和国家历史上具有里程碑意义的一年，也是“十四五”规划开局之年，全区财政工作坚持以习近平新时代中国特色社会主义思想为指导，在区委、区政府的正确领导下，紧密围绕区第六届人大八次会议通过的预算及人大常委会通过的预算调整，坚持稳中求进工作总基调，落实积极财政政策提质增效，为“十四五”开好局、起好步，为</w:t>
      </w:r>
      <w:r>
        <w:rPr>
          <w:rFonts w:hint="eastAsia" w:ascii="仿宋_GB2312" w:hAnsi="仿宋_GB2312" w:cs="仿宋_GB2312"/>
          <w:color w:val="000000"/>
          <w:szCs w:val="32"/>
        </w:rPr>
        <w:t>推进我区经济社会高质量发展提供坚实的财政保障。</w:t>
      </w:r>
    </w:p>
    <w:p>
      <w:pPr>
        <w:spacing w:line="600" w:lineRule="exact"/>
        <w:ind w:firstLine="643" w:firstLineChars="200"/>
        <w:rPr>
          <w:rFonts w:ascii="仿宋_GB2312"/>
          <w:szCs w:val="32"/>
        </w:rPr>
      </w:pPr>
      <w:r>
        <w:rPr>
          <w:rFonts w:hint="eastAsia" w:ascii="仿宋_GB2312"/>
          <w:b/>
          <w:szCs w:val="32"/>
        </w:rPr>
        <w:t>（一）规范组织收入，筑牢财力保障。</w:t>
      </w:r>
      <w:r>
        <w:rPr>
          <w:rFonts w:hint="eastAsia" w:ascii="仿宋_GB2312"/>
          <w:szCs w:val="32"/>
        </w:rPr>
        <w:t>积极应对经济下行压力加大和疫情形势复杂多变等挑战，紧盯经济运行中出现的各种积极和有利因素，多部门联动做好重点税源企业扶持工作。落实减税降费政策，</w:t>
      </w:r>
      <w:r>
        <w:rPr>
          <w:rFonts w:hint="eastAsia" w:ascii="仿宋_GB2312" w:hAnsi="华文仿宋" w:cs="仿宋_GB2312"/>
          <w:bCs/>
          <w:szCs w:val="32"/>
        </w:rPr>
        <w:t>规范税收征管，坚持依法征收。出台区级财政激励机制，增强各镇（街）组织收入的积极性，做大区级财政收入的蛋糕。</w:t>
      </w:r>
    </w:p>
    <w:p>
      <w:pPr>
        <w:spacing w:line="600" w:lineRule="exact"/>
        <w:ind w:firstLine="643" w:firstLineChars="200"/>
        <w:rPr>
          <w:rFonts w:ascii="仿宋_GB2312"/>
          <w:szCs w:val="32"/>
        </w:rPr>
      </w:pPr>
      <w:r>
        <w:rPr>
          <w:rFonts w:hint="eastAsia" w:ascii="仿宋_GB2312"/>
          <w:b/>
          <w:szCs w:val="32"/>
        </w:rPr>
        <w:t>（二）有保有压统筹协调，保障经济平稳运行。</w:t>
      </w:r>
      <w:r>
        <w:rPr>
          <w:rFonts w:hint="eastAsia" w:ascii="仿宋_GB2312" w:hAnsi="宋体"/>
          <w:szCs w:val="32"/>
        </w:rPr>
        <w:t>坚决落实积极财政政策，通过开源节流，加强资金支出执行管理，提高资金使用效益。一方面突出保障重点，做好“保民生、保工资、保运转”工作，兜牢兜实基层“三保”底线。另一方面是</w:t>
      </w:r>
      <w:r>
        <w:rPr>
          <w:rFonts w:hint="eastAsia" w:ascii="仿宋_GB2312" w:hAnsi="宋体" w:cs="宋体"/>
          <w:bCs/>
          <w:szCs w:val="32"/>
        </w:rPr>
        <w:t>牢固</w:t>
      </w:r>
      <w:r>
        <w:rPr>
          <w:rFonts w:hint="eastAsia" w:ascii="仿宋_GB2312" w:hAnsi="宋体" w:cs="仿宋_GB2312"/>
          <w:szCs w:val="32"/>
        </w:rPr>
        <w:t>树立政府过紧日子思想，</w:t>
      </w:r>
      <w:r>
        <w:rPr>
          <w:rFonts w:hint="eastAsia" w:ascii="仿宋_GB2312" w:hAnsi="华文仿宋" w:cs="仿宋_GB2312"/>
          <w:bCs/>
          <w:szCs w:val="32"/>
        </w:rPr>
        <w:t>深入挖掘节支潜力，</w:t>
      </w:r>
      <w:r>
        <w:rPr>
          <w:rFonts w:hint="eastAsia" w:ascii="仿宋_GB2312" w:hAnsi="宋体" w:cs="仿宋_GB2312"/>
          <w:szCs w:val="32"/>
        </w:rPr>
        <w:t>进一步落实全区部门压减一般性支出。</w:t>
      </w:r>
      <w:r>
        <w:rPr>
          <w:rFonts w:hint="eastAsia" w:ascii="仿宋_GB2312" w:hAnsi="华文仿宋" w:cs="仿宋_GB2312"/>
          <w:bCs/>
          <w:szCs w:val="32"/>
        </w:rPr>
        <w:t>加强财政资源统筹，积极盘活存量资金，累计盘活存量资金9000多万元</w:t>
      </w:r>
      <w:r>
        <w:rPr>
          <w:rFonts w:hint="eastAsia" w:ascii="仿宋_GB2312" w:hAnsi="华文仿宋" w:cs="仿宋_GB2312"/>
          <w:szCs w:val="32"/>
        </w:rPr>
        <w:t>。</w:t>
      </w:r>
    </w:p>
    <w:p>
      <w:pPr>
        <w:spacing w:line="600" w:lineRule="exact"/>
        <w:ind w:firstLine="643" w:firstLineChars="200"/>
        <w:rPr>
          <w:rFonts w:ascii="仿宋_GB2312"/>
          <w:szCs w:val="32"/>
        </w:rPr>
      </w:pPr>
      <w:r>
        <w:rPr>
          <w:rFonts w:hint="eastAsia" w:ascii="仿宋_GB2312"/>
          <w:b/>
          <w:szCs w:val="32"/>
        </w:rPr>
        <w:t>（三）支持重点领域发展，坚决打好“三大攻坚战”。</w:t>
      </w:r>
      <w:r>
        <w:rPr>
          <w:rFonts w:hint="eastAsia" w:ascii="仿宋_GB2312"/>
          <w:szCs w:val="32"/>
        </w:rPr>
        <w:t>持续做好抓重点、补短板、强弱项，确保全面建成小康社会的成色更足。巩固拓展脱贫攻坚成果同乡村振兴有效衔接，统筹整合涉农资金6353万元。坚定绿色可持续发展理念，统筹地债资金、水污染防治资金、环保专项资金等近2亿元投入环保建设。</w:t>
      </w:r>
      <w:r>
        <w:rPr>
          <w:rFonts w:hint="eastAsia" w:ascii="仿宋_GB2312" w:hAnsi="新宋体"/>
          <w:szCs w:val="32"/>
        </w:rPr>
        <w:t>按照“一债一策”制订隐性债务化解工作方案，全区在上半年提前完成隐性债务存量“清零”化解工作。</w:t>
      </w:r>
    </w:p>
    <w:p>
      <w:pPr>
        <w:spacing w:line="600" w:lineRule="exact"/>
        <w:ind w:firstLine="643" w:firstLineChars="200"/>
        <w:rPr>
          <w:rFonts w:ascii="仿宋_GB2312"/>
          <w:szCs w:val="32"/>
        </w:rPr>
      </w:pPr>
      <w:r>
        <w:rPr>
          <w:rFonts w:hint="eastAsia" w:ascii="仿宋_GB2312"/>
          <w:b/>
          <w:szCs w:val="32"/>
        </w:rPr>
        <w:t>（四）聚焦可持续发展，切实保障和改善民生。</w:t>
      </w:r>
      <w:r>
        <w:rPr>
          <w:rFonts w:hint="eastAsia" w:ascii="仿宋_GB2312"/>
          <w:szCs w:val="32"/>
        </w:rPr>
        <w:t>坚持把保障民生放在财政工作中的突出位置，全年全区民生类支出完成19.58亿元，占一般公共预算支出达79.8%。教育方面推动教育优质均衡发展，全年教育支出6.37亿元，占民生类支出32.5%，在民生类支出中占比第一。卫生健康方面坚持“保障为要，资金先行”，积极筹措资金保障救治检测、防控隔离、物资供应、疫苗接种等疫情防控工作需求。社会保障与就业方面充分发挥民生政策兜底作用，构建好社会保障体系；落实各项促进就业创业财政政策，持续做好“稳就业保就业”工作。</w:t>
      </w:r>
    </w:p>
    <w:p>
      <w:pPr>
        <w:spacing w:line="600" w:lineRule="exact"/>
        <w:ind w:firstLine="643" w:firstLineChars="200"/>
        <w:rPr>
          <w:rFonts w:ascii="仿宋_GB2312"/>
          <w:szCs w:val="32"/>
        </w:rPr>
      </w:pPr>
      <w:r>
        <w:rPr>
          <w:rFonts w:hint="eastAsia" w:ascii="仿宋_GB2312"/>
          <w:b/>
          <w:szCs w:val="32"/>
        </w:rPr>
        <w:t>（五）深化财政体制改革，提升财政管理水平。</w:t>
      </w:r>
      <w:r>
        <w:rPr>
          <w:rFonts w:hint="eastAsia" w:ascii="仿宋_GB2312"/>
          <w:szCs w:val="32"/>
        </w:rPr>
        <w:t>推进财政信息化建设，树立财政工作“一盘棋”思想，2021年全面上线“数字政府”公共财政综合管理平台与非税收入管理一体化平台，推进财政信息化工作的“提档升级”。落实财政资金直达长效管理机制，推动直达资金直达基层、惠企利民。</w:t>
      </w:r>
      <w:r>
        <w:rPr>
          <w:rFonts w:hint="eastAsia" w:ascii="仿宋_GB2312" w:hAnsi="仿宋_GB2312" w:cs="仿宋_GB2312"/>
          <w:szCs w:val="32"/>
        </w:rPr>
        <w:t>全面深化预算绩效管理改革，进一步强化“用钱必问效、无效必问责”的绩效观念。</w:t>
      </w:r>
    </w:p>
    <w:p>
      <w:pPr>
        <w:spacing w:line="600" w:lineRule="exact"/>
        <w:ind w:firstLine="643" w:firstLineChars="200"/>
        <w:rPr>
          <w:rFonts w:ascii="仿宋_GB2312" w:hAnsi="仿宋"/>
          <w:b/>
          <w:szCs w:val="32"/>
        </w:rPr>
      </w:pPr>
      <w:r>
        <w:rPr>
          <w:rFonts w:hint="eastAsia" w:ascii="仿宋_GB2312" w:hAnsi="仿宋"/>
          <w:b/>
          <w:szCs w:val="32"/>
        </w:rPr>
        <w:t>三、2022年预算草案</w:t>
      </w:r>
    </w:p>
    <w:p>
      <w:pPr>
        <w:spacing w:line="600" w:lineRule="exact"/>
        <w:ind w:firstLine="640" w:firstLineChars="200"/>
        <w:rPr>
          <w:rFonts w:ascii="仿宋_GB2312"/>
          <w:szCs w:val="32"/>
        </w:rPr>
      </w:pPr>
      <w:r>
        <w:rPr>
          <w:rFonts w:hint="eastAsia" w:ascii="仿宋_GB2312"/>
          <w:szCs w:val="32"/>
        </w:rPr>
        <w:t>编制2022年预算的指导思想是：以习近平新时代中国特色社会主义思想为指导，全面贯彻党的十九大和十九届历次全会精神以及中央经济工作会议精神，深入贯彻落实习近平总书记视察广东视察潮州重要讲话和重要指示批示精神，</w:t>
      </w:r>
      <w:r>
        <w:rPr>
          <w:rFonts w:hint="eastAsia" w:ascii="仿宋_GB2312" w:hAnsi="仿宋_GB2312"/>
          <w:szCs w:val="32"/>
        </w:rPr>
        <w:t>认真贯彻落实党中央决策部署和省委、市委工作要求，全面落实区第七次党代会精神</w:t>
      </w:r>
      <w:r>
        <w:rPr>
          <w:rFonts w:hint="eastAsia" w:ascii="仿宋_GB2312"/>
          <w:szCs w:val="32"/>
        </w:rPr>
        <w:t>，</w:t>
      </w:r>
      <w:r>
        <w:rPr>
          <w:rFonts w:hint="eastAsia" w:ascii="仿宋_GB2312" w:hAnsi="仿宋_GB2312"/>
          <w:szCs w:val="32"/>
        </w:rPr>
        <w:t>紧紧围绕开创湘桥现代化建设新局面</w:t>
      </w:r>
      <w:r>
        <w:rPr>
          <w:rFonts w:hint="eastAsia" w:ascii="仿宋_GB2312"/>
          <w:szCs w:val="32"/>
        </w:rPr>
        <w:t>，坚持稳字当头、稳中求进总基调，坚持以供给侧结构性改革为主线，统筹疫情防控和经济社会发展，统筹发展和安全，继续扎实做好“六稳”工作、全面落实“六保”任务，持续保障和改善民生，保持经济运行在合理区间，保持社会大局稳定。实施积极的财政政策，提升效能。坚持深化财政改革，全面实施预算绩效管理。推动“数字财政”建设，提升财政信息化建设水平，确保财政资金提质增效。以</w:t>
      </w:r>
      <w:r>
        <w:rPr>
          <w:rFonts w:hint="eastAsia" w:ascii="仿宋_GB2312" w:hAnsi="仿宋_GB2312"/>
          <w:szCs w:val="32"/>
        </w:rPr>
        <w:t>经济高质量发展作为支撑，奋力开创湘桥现代化建设新局面，以优异成绩迎接党的二十大胜利召开</w:t>
      </w:r>
      <w:r>
        <w:rPr>
          <w:rFonts w:hint="eastAsia" w:ascii="仿宋_GB2312"/>
          <w:szCs w:val="32"/>
        </w:rPr>
        <w:t>。</w:t>
      </w:r>
    </w:p>
    <w:p>
      <w:pPr>
        <w:pBdr>
          <w:bottom w:val="single" w:color="FFFFFF" w:sz="4" w:space="31"/>
        </w:pBdr>
        <w:spacing w:line="600" w:lineRule="exact"/>
        <w:ind w:firstLine="643" w:firstLineChars="200"/>
        <w:rPr>
          <w:rFonts w:ascii="仿宋_GB2312" w:hAnsi="楷体_GB2312" w:cs="楷体_GB2312"/>
          <w:b/>
          <w:bCs/>
          <w:szCs w:val="32"/>
        </w:rPr>
      </w:pPr>
      <w:r>
        <w:rPr>
          <w:rFonts w:hint="eastAsia" w:ascii="仿宋_GB2312" w:hAnsi="楷体_GB2312" w:cs="楷体_GB2312"/>
          <w:b/>
          <w:bCs/>
          <w:szCs w:val="32"/>
        </w:rPr>
        <w:t>（一）2022年区级一般公共预算草案</w:t>
      </w:r>
    </w:p>
    <w:p>
      <w:pPr>
        <w:pBdr>
          <w:bottom w:val="single" w:color="FFFFFF" w:sz="4" w:space="31"/>
        </w:pBdr>
        <w:spacing w:line="600" w:lineRule="exact"/>
        <w:ind w:firstLine="640" w:firstLineChars="200"/>
        <w:rPr>
          <w:rFonts w:ascii="仿宋_GB2312" w:cs="楷体_GB2312"/>
          <w:bCs/>
          <w:szCs w:val="32"/>
        </w:rPr>
      </w:pPr>
      <w:r>
        <w:rPr>
          <w:rFonts w:hint="eastAsia" w:ascii="仿宋_GB2312" w:cs="楷体_GB2312"/>
          <w:bCs/>
          <w:szCs w:val="32"/>
        </w:rPr>
        <w:t>根据量入为出、收支平衡的原则和2022年全区国民经济和社会发展计划，并综合考虑各项税收政策影响和全年财政支出需要，2022年全区一般公共预算收支计划拟作如下安排：</w:t>
      </w:r>
    </w:p>
    <w:p>
      <w:pPr>
        <w:pBdr>
          <w:bottom w:val="single" w:color="FFFFFF" w:sz="4" w:space="31"/>
        </w:pBdr>
        <w:spacing w:line="600" w:lineRule="exact"/>
        <w:ind w:firstLine="640" w:firstLineChars="200"/>
        <w:rPr>
          <w:rFonts w:ascii="仿宋_GB2312" w:hAnsi="仿宋"/>
          <w:szCs w:val="32"/>
        </w:rPr>
      </w:pPr>
      <w:r>
        <w:rPr>
          <w:rFonts w:hint="eastAsia" w:ascii="仿宋_GB2312" w:cs="楷体_GB2312"/>
          <w:bCs/>
          <w:szCs w:val="32"/>
        </w:rPr>
        <w:t>2022年区级一般公共预算收入预计完成64597</w:t>
      </w:r>
      <w:r>
        <w:rPr>
          <w:rFonts w:hint="eastAsia" w:ascii="仿宋_GB2312" w:hAnsi="仿宋"/>
          <w:szCs w:val="32"/>
        </w:rPr>
        <w:t>万元，比上年收入数59812万元（按市与湘桥区调整财政体制因素的可比口径）增加4785万元，增长8.0%。其中：税收收入55897万元，非税收入8700万元；加上上级税收返还和转移支付补助142693万元、一般债券转贷收入10000万元、动用预算稳定调节基金5080万元、上年结转21097万元和调入资金79133万元，区级一般公共预算总收入322600万元。</w:t>
      </w:r>
    </w:p>
    <w:p>
      <w:pPr>
        <w:pBdr>
          <w:bottom w:val="single" w:color="FFFFFF" w:sz="4" w:space="31"/>
        </w:pBdr>
        <w:spacing w:line="600" w:lineRule="exact"/>
        <w:ind w:firstLine="640" w:firstLineChars="200"/>
        <w:rPr>
          <w:rFonts w:ascii="仿宋_GB2312" w:hAnsi="仿宋"/>
          <w:szCs w:val="32"/>
        </w:rPr>
      </w:pPr>
      <w:r>
        <w:rPr>
          <w:rFonts w:hint="eastAsia" w:ascii="仿宋_GB2312" w:hAnsi="仿宋"/>
          <w:szCs w:val="32"/>
        </w:rPr>
        <w:t>2022年区级一般公共预算支出拟安排304377万元，比上年支出数245472万元增支58905万元，增长24%。加上上解上级支出18223万元，区级一般公共预算总支出322600万元。</w:t>
      </w:r>
    </w:p>
    <w:p>
      <w:pPr>
        <w:pBdr>
          <w:bottom w:val="single" w:color="FFFFFF" w:sz="4" w:space="31"/>
        </w:pBdr>
        <w:spacing w:line="600" w:lineRule="exact"/>
        <w:ind w:firstLine="640" w:firstLineChars="200"/>
        <w:rPr>
          <w:rFonts w:ascii="仿宋_GB2312" w:hAnsi="仿宋"/>
          <w:szCs w:val="32"/>
        </w:rPr>
      </w:pPr>
      <w:r>
        <w:rPr>
          <w:rFonts w:hint="eastAsia" w:ascii="仿宋_GB2312" w:hAnsi="仿宋"/>
          <w:szCs w:val="32"/>
        </w:rPr>
        <w:t>收支相抵，预算平衡。</w:t>
      </w:r>
    </w:p>
    <w:p>
      <w:pPr>
        <w:pBdr>
          <w:bottom w:val="single" w:color="FFFFFF" w:sz="4" w:space="31"/>
        </w:pBdr>
        <w:spacing w:line="600" w:lineRule="exact"/>
        <w:ind w:firstLine="643" w:firstLineChars="200"/>
        <w:rPr>
          <w:rFonts w:ascii="仿宋_GB2312" w:hAnsi="楷体_GB2312" w:cs="楷体_GB2312"/>
          <w:b/>
          <w:bCs/>
          <w:szCs w:val="32"/>
        </w:rPr>
      </w:pPr>
      <w:r>
        <w:rPr>
          <w:rFonts w:hint="eastAsia" w:ascii="仿宋_GB2312" w:hAnsi="楷体_GB2312" w:cs="楷体_GB2312"/>
          <w:b/>
          <w:bCs/>
          <w:szCs w:val="32"/>
        </w:rPr>
        <w:t>（二）2022年区级政府性基金预算草案</w:t>
      </w:r>
    </w:p>
    <w:p>
      <w:pPr>
        <w:pBdr>
          <w:bottom w:val="single" w:color="FFFFFF" w:sz="4" w:space="31"/>
        </w:pBdr>
        <w:spacing w:line="600" w:lineRule="exact"/>
        <w:ind w:firstLine="640" w:firstLineChars="200"/>
        <w:rPr>
          <w:rFonts w:ascii="仿宋_GB2312" w:hAnsi="仿宋"/>
          <w:szCs w:val="32"/>
        </w:rPr>
      </w:pPr>
      <w:r>
        <w:rPr>
          <w:rFonts w:hint="eastAsia" w:ascii="仿宋_GB2312" w:hAnsi="仿宋"/>
          <w:szCs w:val="32"/>
        </w:rPr>
        <w:t>2022年区级政府性基金上级补助收入101296万元、债券转贷收入50000万元和上年结余2906万元，区级政府性基金预算总收入154202万元。</w:t>
      </w:r>
    </w:p>
    <w:p>
      <w:pPr>
        <w:pBdr>
          <w:bottom w:val="single" w:color="FFFFFF" w:sz="4" w:space="31"/>
        </w:pBdr>
        <w:spacing w:line="600" w:lineRule="exact"/>
        <w:ind w:firstLine="640" w:firstLineChars="200"/>
        <w:rPr>
          <w:rFonts w:ascii="仿宋_GB2312" w:hAnsi="仿宋"/>
          <w:szCs w:val="32"/>
        </w:rPr>
      </w:pPr>
      <w:r>
        <w:rPr>
          <w:rFonts w:hint="eastAsia" w:ascii="仿宋_GB2312" w:hAnsi="仿宋"/>
          <w:szCs w:val="32"/>
        </w:rPr>
        <w:t>2022年区级政府性基金预算拟安排支出70094万元，其中：社会保障和就业支出436万元、城乡社区支出13718万元、其他支出50923万元、债务付息支出4817万元、债务发行费用支出200万元，加上调出资金79108万元和债务还本支出5000万元，区级政府性基金预算总支出154202万元。</w:t>
      </w:r>
    </w:p>
    <w:p>
      <w:pPr>
        <w:pBdr>
          <w:bottom w:val="single" w:color="FFFFFF" w:sz="4" w:space="31"/>
        </w:pBdr>
        <w:spacing w:line="600" w:lineRule="exact"/>
        <w:ind w:firstLine="640" w:firstLineChars="200"/>
        <w:rPr>
          <w:rFonts w:ascii="仿宋_GB2312" w:hAnsi="仿宋"/>
          <w:szCs w:val="32"/>
        </w:rPr>
      </w:pPr>
      <w:r>
        <w:rPr>
          <w:rFonts w:hint="eastAsia" w:ascii="仿宋_GB2312" w:hAnsi="仿宋"/>
          <w:szCs w:val="32"/>
        </w:rPr>
        <w:t>收支相抵，预算平衡。</w:t>
      </w:r>
    </w:p>
    <w:p>
      <w:pPr>
        <w:pBdr>
          <w:bottom w:val="single" w:color="FFFFFF" w:sz="4" w:space="31"/>
        </w:pBdr>
        <w:spacing w:line="600" w:lineRule="exact"/>
        <w:ind w:firstLine="643" w:firstLineChars="200"/>
        <w:rPr>
          <w:rFonts w:ascii="仿宋_GB2312" w:hAnsi="楷体_GB2312" w:cs="楷体_GB2312"/>
          <w:b/>
          <w:bCs/>
          <w:szCs w:val="32"/>
        </w:rPr>
      </w:pPr>
      <w:r>
        <w:rPr>
          <w:rFonts w:hint="eastAsia" w:ascii="仿宋_GB2312" w:hAnsi="楷体_GB2312" w:cs="楷体_GB2312"/>
          <w:b/>
          <w:bCs/>
          <w:szCs w:val="32"/>
        </w:rPr>
        <w:t>（三）2022年国有资本经营预算草案</w:t>
      </w:r>
    </w:p>
    <w:p>
      <w:pPr>
        <w:pBdr>
          <w:bottom w:val="single" w:color="FFFFFF" w:sz="4" w:space="31"/>
        </w:pBdr>
        <w:spacing w:line="600" w:lineRule="exact"/>
        <w:ind w:firstLine="640" w:firstLineChars="200"/>
        <w:rPr>
          <w:rFonts w:ascii="仿宋_GB2312" w:hAnsi="仿宋"/>
          <w:szCs w:val="32"/>
        </w:rPr>
      </w:pPr>
      <w:r>
        <w:rPr>
          <w:rFonts w:hint="eastAsia" w:ascii="仿宋_GB2312" w:hAnsi="仿宋"/>
          <w:szCs w:val="32"/>
        </w:rPr>
        <w:t>2022年区级国有资本经营预算收入预计完成80万元，其中：其他国有资本经营预算收入80万元，上级转移补助158万元和上年结转156万元，区级国有资本经营预算总收入394万元。</w:t>
      </w:r>
    </w:p>
    <w:p>
      <w:pPr>
        <w:pBdr>
          <w:bottom w:val="single" w:color="FFFFFF" w:sz="4" w:space="31"/>
        </w:pBdr>
        <w:spacing w:line="600" w:lineRule="exact"/>
        <w:ind w:firstLine="640" w:firstLineChars="200"/>
        <w:rPr>
          <w:rFonts w:ascii="仿宋_GB2312" w:hAnsi="仿宋"/>
          <w:szCs w:val="32"/>
        </w:rPr>
      </w:pPr>
      <w:r>
        <w:rPr>
          <w:rFonts w:hint="eastAsia" w:ascii="仿宋_GB2312" w:hAnsi="仿宋"/>
          <w:szCs w:val="32"/>
        </w:rPr>
        <w:t>2022年相应安排区级国有资本经营预算支出369万元。其中：解决历史遗留问题及改革成本支出339万元，其他国有资本经营预算支出30万元，加上调出资金25万元，国有资本经营预算总支出394万元。</w:t>
      </w:r>
    </w:p>
    <w:p>
      <w:pPr>
        <w:pBdr>
          <w:bottom w:val="single" w:color="FFFFFF" w:sz="4" w:space="31"/>
        </w:pBdr>
        <w:spacing w:line="600" w:lineRule="exact"/>
        <w:ind w:firstLine="640" w:firstLineChars="200"/>
        <w:rPr>
          <w:rFonts w:ascii="仿宋_GB2312" w:hAnsi="仿宋"/>
          <w:szCs w:val="32"/>
        </w:rPr>
      </w:pPr>
      <w:r>
        <w:rPr>
          <w:rFonts w:hint="eastAsia" w:ascii="仿宋_GB2312" w:hAnsi="仿宋"/>
          <w:szCs w:val="32"/>
        </w:rPr>
        <w:t>收支相抵，预算平衡。</w:t>
      </w:r>
    </w:p>
    <w:p>
      <w:pPr>
        <w:pBdr>
          <w:bottom w:val="single" w:color="FFFFFF" w:sz="4" w:space="31"/>
        </w:pBdr>
        <w:spacing w:line="600" w:lineRule="exact"/>
        <w:ind w:firstLine="643" w:firstLineChars="200"/>
        <w:rPr>
          <w:rFonts w:ascii="仿宋_GB2312" w:hAnsi="楷体_GB2312" w:cs="楷体_GB2312"/>
          <w:b/>
          <w:bCs/>
          <w:szCs w:val="32"/>
        </w:rPr>
      </w:pPr>
      <w:r>
        <w:rPr>
          <w:rFonts w:hint="eastAsia" w:ascii="仿宋_GB2312" w:hAnsi="楷体_GB2312" w:cs="楷体_GB2312"/>
          <w:b/>
          <w:bCs/>
          <w:szCs w:val="32"/>
        </w:rPr>
        <w:t>（四）2022年社会保险基金预算草案</w:t>
      </w:r>
    </w:p>
    <w:p>
      <w:pPr>
        <w:pBdr>
          <w:bottom w:val="single" w:color="FFFFFF" w:sz="4" w:space="31"/>
        </w:pBdr>
        <w:spacing w:line="600" w:lineRule="exact"/>
        <w:ind w:firstLine="640" w:firstLineChars="200"/>
        <w:rPr>
          <w:rFonts w:ascii="仿宋_GB2312" w:hAnsi="仿宋"/>
          <w:szCs w:val="32"/>
        </w:rPr>
      </w:pPr>
      <w:r>
        <w:rPr>
          <w:rFonts w:hint="eastAsia" w:ascii="仿宋_GB2312" w:hAnsi="仿宋"/>
          <w:szCs w:val="32"/>
        </w:rPr>
        <w:t>2022年社会保险基金预算总收入21349万元，其中：机关事业单位基本养老保险基金21349万元。</w:t>
      </w:r>
    </w:p>
    <w:p>
      <w:pPr>
        <w:pBdr>
          <w:bottom w:val="single" w:color="FFFFFF" w:sz="4" w:space="31"/>
        </w:pBdr>
        <w:spacing w:line="600" w:lineRule="exact"/>
        <w:ind w:firstLine="640" w:firstLineChars="200"/>
        <w:rPr>
          <w:rFonts w:ascii="仿宋_GB2312"/>
          <w:szCs w:val="32"/>
        </w:rPr>
      </w:pPr>
      <w:r>
        <w:rPr>
          <w:rFonts w:hint="eastAsia" w:ascii="仿宋_GB2312" w:hAnsi="仿宋"/>
          <w:szCs w:val="32"/>
        </w:rPr>
        <w:t>2022年社会保险基金预算总支出21264万元，其中：机关事业单位基本养老保险基金21264万元。收支相抵结余85万元，年末滚存结余3436万元。</w:t>
      </w:r>
    </w:p>
    <w:p>
      <w:pPr>
        <w:pBdr>
          <w:bottom w:val="single" w:color="FFFFFF" w:sz="4" w:space="31"/>
        </w:pBdr>
        <w:spacing w:line="600" w:lineRule="exact"/>
        <w:ind w:firstLine="643" w:firstLineChars="200"/>
        <w:rPr>
          <w:rFonts w:ascii="仿宋_GB2312" w:hAnsi="楷体_GB2312" w:cs="楷体_GB2312"/>
          <w:b/>
          <w:bCs/>
          <w:szCs w:val="32"/>
        </w:rPr>
      </w:pPr>
      <w:r>
        <w:rPr>
          <w:rFonts w:hint="eastAsia" w:ascii="仿宋_GB2312" w:hAnsi="楷体_GB2312" w:cs="楷体_GB2312"/>
          <w:b/>
          <w:bCs/>
          <w:szCs w:val="32"/>
        </w:rPr>
        <w:t>（五）2022年区级部门预算草案</w:t>
      </w:r>
    </w:p>
    <w:p>
      <w:pPr>
        <w:pBdr>
          <w:bottom w:val="single" w:color="FFFFFF" w:sz="4" w:space="31"/>
        </w:pBdr>
        <w:spacing w:line="600" w:lineRule="exact"/>
        <w:ind w:firstLine="640" w:firstLineChars="200"/>
        <w:rPr>
          <w:rFonts w:ascii="仿宋_GB2312" w:hAnsi="仿宋"/>
          <w:szCs w:val="32"/>
        </w:rPr>
      </w:pPr>
      <w:r>
        <w:rPr>
          <w:rFonts w:hint="eastAsia" w:ascii="仿宋_GB2312" w:hAnsi="仿宋"/>
          <w:szCs w:val="32"/>
        </w:rPr>
        <w:t>按照上级财政部门规定的编制部门预算的原则和方法，编制了区人大办公室等单位的部门预算。</w:t>
      </w:r>
    </w:p>
    <w:p>
      <w:pPr>
        <w:pBdr>
          <w:bottom w:val="single" w:color="FFFFFF" w:sz="4" w:space="31"/>
        </w:pBdr>
        <w:spacing w:line="600" w:lineRule="exact"/>
        <w:ind w:firstLine="643" w:firstLineChars="200"/>
        <w:rPr>
          <w:rFonts w:ascii="仿宋_GB2312" w:hAnsi="黑体" w:cs="黑体"/>
          <w:b/>
          <w:szCs w:val="32"/>
        </w:rPr>
      </w:pPr>
      <w:r>
        <w:rPr>
          <w:rFonts w:hint="eastAsia" w:ascii="仿宋_GB2312" w:hAnsi="黑体" w:cs="黑体"/>
          <w:b/>
          <w:szCs w:val="32"/>
        </w:rPr>
        <w:t>四、完成2022年预算目标的主要措施</w:t>
      </w:r>
    </w:p>
    <w:p>
      <w:pPr>
        <w:pBdr>
          <w:bottom w:val="single" w:color="FFFFFF" w:sz="4" w:space="31"/>
        </w:pBdr>
        <w:spacing w:line="600" w:lineRule="exact"/>
        <w:ind w:firstLine="640" w:firstLineChars="200"/>
        <w:rPr>
          <w:rFonts w:ascii="仿宋_GB2312" w:hAnsi="仿宋_GB2312" w:cs="仿宋_GB2312"/>
          <w:color w:val="000000"/>
          <w:szCs w:val="32"/>
        </w:rPr>
      </w:pPr>
      <w:r>
        <w:rPr>
          <w:rFonts w:hint="eastAsia" w:ascii="仿宋_GB2312" w:hAnsi="仿宋"/>
          <w:szCs w:val="32"/>
        </w:rPr>
        <w:t>围绕2022年预算安排，</w:t>
      </w:r>
      <w:r>
        <w:rPr>
          <w:rFonts w:hint="eastAsia" w:ascii="仿宋_GB2312" w:hAnsi="仿宋_GB2312" w:cs="仿宋_GB2312"/>
          <w:color w:val="000000"/>
          <w:szCs w:val="32"/>
        </w:rPr>
        <w:t>结合</w:t>
      </w:r>
      <w:r>
        <w:rPr>
          <w:rFonts w:hint="eastAsia" w:ascii="仿宋_GB2312" w:hAnsi="仿宋_GB2312"/>
          <w:szCs w:val="32"/>
        </w:rPr>
        <w:t>市委“一大引领、三大战役、六大提升”工作部署、市政府“三个提质”“三个赋能”“三个保障”重点工作和区</w:t>
      </w:r>
      <w:r>
        <w:rPr>
          <w:rFonts w:hint="eastAsia" w:ascii="仿宋_GB2312"/>
          <w:szCs w:val="32"/>
        </w:rPr>
        <w:t>委区政府工作安排</w:t>
      </w:r>
      <w:r>
        <w:rPr>
          <w:rFonts w:hint="eastAsia" w:ascii="仿宋_GB2312" w:hAnsi="仿宋_GB2312" w:cs="仿宋_GB2312"/>
          <w:color w:val="000000"/>
          <w:szCs w:val="32"/>
        </w:rPr>
        <w:t>，持续深化改革，优化财政支出结构，推进我区经济社会高质量发展。</w:t>
      </w:r>
    </w:p>
    <w:p>
      <w:pPr>
        <w:pBdr>
          <w:bottom w:val="single" w:color="FFFFFF" w:sz="4" w:space="31"/>
        </w:pBdr>
        <w:spacing w:line="600" w:lineRule="exact"/>
        <w:ind w:firstLine="643" w:firstLineChars="200"/>
        <w:rPr>
          <w:rFonts w:ascii="仿宋_GB2312" w:hAnsi="仿宋_GB2312" w:cs="仿宋_GB2312"/>
          <w:bCs/>
          <w:szCs w:val="32"/>
        </w:rPr>
      </w:pPr>
      <w:r>
        <w:rPr>
          <w:rFonts w:hint="eastAsia" w:ascii="仿宋_GB2312" w:hAnsi="楷体_GB2312" w:cs="楷体_GB2312"/>
          <w:b/>
          <w:bCs/>
          <w:szCs w:val="32"/>
        </w:rPr>
        <w:t>（一）加强党的全面领导和党的建设，发挥政治引领作用。</w:t>
      </w:r>
      <w:r>
        <w:rPr>
          <w:rFonts w:hint="eastAsia" w:ascii="仿宋_GB2312" w:hAnsi="楷体_GB2312" w:cs="楷体_GB2312"/>
          <w:bCs/>
          <w:szCs w:val="32"/>
        </w:rPr>
        <w:t>把党的政治建设摆在首位，始终把“两个维护”作为最高政治原则和根本政治规矩，将“两个确立”贯彻到谋划财政建设工作中。深刻认识财政系统党风廉政建设的重要性，推动财政干部队伍作风建设，锻造一支“忠诚、干净、担当”的高素质队伍，凝心聚力推动财政高质量发展。</w:t>
      </w:r>
    </w:p>
    <w:p>
      <w:pPr>
        <w:pBdr>
          <w:bottom w:val="single" w:color="FFFFFF" w:sz="4" w:space="31"/>
        </w:pBdr>
        <w:spacing w:line="600" w:lineRule="exact"/>
        <w:ind w:firstLine="643" w:firstLineChars="200"/>
        <w:rPr>
          <w:rFonts w:ascii="仿宋_GB2312" w:hAnsi="仿宋_GB2312" w:cs="仿宋_GB2312"/>
          <w:szCs w:val="32"/>
        </w:rPr>
      </w:pPr>
      <w:r>
        <w:rPr>
          <w:rFonts w:hint="eastAsia" w:ascii="仿宋_GB2312" w:hAnsi="楷体_GB2312" w:cs="楷体_GB2312"/>
          <w:b/>
          <w:bCs/>
          <w:szCs w:val="32"/>
        </w:rPr>
        <w:t>（二）</w:t>
      </w:r>
      <w:r>
        <w:rPr>
          <w:rFonts w:hint="eastAsia" w:ascii="仿宋_GB2312"/>
          <w:b/>
          <w:szCs w:val="32"/>
        </w:rPr>
        <w:t>加强财源管理，提高财政保障</w:t>
      </w:r>
      <w:r>
        <w:rPr>
          <w:rFonts w:hint="eastAsia" w:ascii="仿宋_GB2312" w:hAnsi="楷体_GB2312" w:cs="楷体_GB2312"/>
          <w:b/>
          <w:bCs/>
          <w:szCs w:val="32"/>
        </w:rPr>
        <w:t>。</w:t>
      </w:r>
      <w:r>
        <w:rPr>
          <w:rFonts w:hint="eastAsia" w:ascii="仿宋_GB2312" w:hAnsi="仿宋_GB2312" w:cs="仿宋_GB2312"/>
          <w:szCs w:val="32"/>
        </w:rPr>
        <w:t>深入培育和拓宽财源，</w:t>
      </w:r>
      <w:r>
        <w:rPr>
          <w:rFonts w:hint="eastAsia" w:ascii="仿宋_GB2312"/>
          <w:szCs w:val="32"/>
        </w:rPr>
        <w:t>培育涵养可持续发展的优质税源</w:t>
      </w:r>
      <w:r>
        <w:rPr>
          <w:rFonts w:hint="eastAsia" w:ascii="仿宋_GB2312" w:hAnsi="仿宋_GB2312" w:cs="仿宋_GB2312"/>
          <w:szCs w:val="32"/>
        </w:rPr>
        <w:t>。优化资源配置，盘活政府资源资产，加大政府性基金、国有资本经营预算调入一般公共预算力度。</w:t>
      </w:r>
      <w:r>
        <w:rPr>
          <w:rFonts w:hint="eastAsia" w:ascii="仿宋_GB2312" w:hAnsi="华文仿宋" w:cs="仿宋_GB2312"/>
          <w:bCs/>
          <w:szCs w:val="32"/>
        </w:rPr>
        <w:t>抓住</w:t>
      </w:r>
      <w:r>
        <w:rPr>
          <w:rFonts w:hint="eastAsia" w:ascii="仿宋_GB2312" w:hAnsi="宋体"/>
          <w:szCs w:val="32"/>
        </w:rPr>
        <w:t>市级调整财政体制和执收执罚下放基层的契机，完善</w:t>
      </w:r>
      <w:r>
        <w:rPr>
          <w:rFonts w:hint="eastAsia" w:ascii="仿宋_GB2312" w:hAnsi="华文仿宋" w:cs="仿宋_GB2312"/>
          <w:bCs/>
          <w:szCs w:val="32"/>
        </w:rPr>
        <w:t>区级财政激励机制，</w:t>
      </w:r>
      <w:r>
        <w:rPr>
          <w:rFonts w:hint="eastAsia" w:ascii="仿宋_GB2312" w:hAnsi="仿宋_GB2312" w:cs="仿宋_GB2312"/>
          <w:szCs w:val="32"/>
        </w:rPr>
        <w:t>深挖财税收入征收潜力，</w:t>
      </w:r>
      <w:r>
        <w:rPr>
          <w:rFonts w:hint="eastAsia" w:ascii="仿宋_GB2312" w:hAnsi="仿宋_GB2312" w:cs="仿宋_GB2312"/>
          <w:szCs w:val="32"/>
          <w:lang w:eastAsia="zh-CN"/>
        </w:rPr>
        <w:t>多措并举</w:t>
      </w:r>
      <w:bookmarkStart w:id="0" w:name="_GoBack"/>
      <w:bookmarkEnd w:id="0"/>
      <w:r>
        <w:rPr>
          <w:rFonts w:hint="eastAsia" w:ascii="仿宋_GB2312" w:hAnsi="仿宋_GB2312" w:cs="仿宋_GB2312"/>
          <w:szCs w:val="32"/>
        </w:rPr>
        <w:t>充实政府口袋，集中财力办大事，增强区委区政府重点工作财力保障。</w:t>
      </w:r>
    </w:p>
    <w:p>
      <w:pPr>
        <w:pBdr>
          <w:bottom w:val="single" w:color="FFFFFF" w:sz="4" w:space="31"/>
        </w:pBdr>
        <w:spacing w:line="600" w:lineRule="exact"/>
        <w:ind w:firstLine="643" w:firstLineChars="200"/>
        <w:rPr>
          <w:rFonts w:ascii="仿宋_GB2312" w:hAnsi="仿宋_GB2312" w:cs="仿宋_GB2312"/>
          <w:szCs w:val="32"/>
        </w:rPr>
      </w:pPr>
      <w:r>
        <w:rPr>
          <w:rFonts w:hint="eastAsia" w:ascii="仿宋_GB2312" w:hAnsi="楷体_GB2312" w:cs="楷体_GB2312"/>
          <w:b/>
          <w:bCs/>
          <w:szCs w:val="32"/>
        </w:rPr>
        <w:t>（三）</w:t>
      </w:r>
      <w:r>
        <w:rPr>
          <w:rFonts w:hint="eastAsia" w:ascii="仿宋_GB2312" w:hAnsi="仿宋_GB2312" w:cs="仿宋_GB2312"/>
          <w:b/>
          <w:szCs w:val="32"/>
        </w:rPr>
        <w:t>深化财政改革，提升理财水平。</w:t>
      </w:r>
      <w:r>
        <w:rPr>
          <w:rFonts w:hint="eastAsia" w:ascii="仿宋_GB2312" w:hAnsi="仿宋_GB2312" w:cs="仿宋_GB2312"/>
          <w:szCs w:val="32"/>
        </w:rPr>
        <w:t xml:space="preserve">坚持精准施策，推动财政改革。以提升预算管理为核心、“数字财政”建设为支撑，全面推动财政预算管理提质增效。全面深化预算绩效管理，建立预算绩效管理体系。持续推进国库管理、政府购买服务、国有资产管理、监督检查等各方面的重要改革，深化财政管理“放管服”。 </w:t>
      </w:r>
    </w:p>
    <w:p>
      <w:pPr>
        <w:pBdr>
          <w:bottom w:val="single" w:color="FFFFFF" w:sz="4" w:space="31"/>
        </w:pBdr>
        <w:spacing w:line="600" w:lineRule="exact"/>
        <w:ind w:firstLine="643" w:firstLineChars="200"/>
        <w:rPr>
          <w:rFonts w:ascii="仿宋_GB2312" w:hAnsi="仿宋_GB2312" w:cs="仿宋_GB2312"/>
          <w:szCs w:val="32"/>
        </w:rPr>
      </w:pPr>
      <w:r>
        <w:rPr>
          <w:rFonts w:hint="eastAsia" w:ascii="仿宋_GB2312" w:hAnsi="仿宋_GB2312" w:cs="仿宋_GB2312"/>
          <w:b/>
          <w:szCs w:val="32"/>
        </w:rPr>
        <w:t>（四）强化措施防风险，提升防范能力。</w:t>
      </w:r>
      <w:r>
        <w:rPr>
          <w:rFonts w:hint="eastAsia" w:ascii="仿宋_GB2312" w:hAnsi="仿宋_GB2312" w:cs="仿宋_GB2312"/>
          <w:szCs w:val="32"/>
        </w:rPr>
        <w:t>债券管理由注重前期的“借、用”向“借、用、管、还”并重转变，确保到期偿还，严防偿付风险。大力争取新增债券资金，全力支持我区重大项目建设。加强财政运行情况分析监测，关注收支波动较大、收入质量下降等问题，确保财政支出与经济发展相协调、与财力状况相匹配，有效防范财政运行风险。</w:t>
      </w:r>
    </w:p>
    <w:p>
      <w:pPr>
        <w:pBdr>
          <w:bottom w:val="single" w:color="FFFFFF" w:sz="4" w:space="31"/>
        </w:pBdr>
        <w:spacing w:line="600" w:lineRule="exact"/>
        <w:ind w:firstLine="640" w:firstLineChars="200"/>
        <w:rPr>
          <w:rFonts w:ascii="仿宋_GB2312" w:hAnsi="仿宋_GB2312" w:cs="仿宋_GB2312"/>
          <w:szCs w:val="32"/>
        </w:rPr>
      </w:pPr>
      <w:r>
        <w:rPr>
          <w:rFonts w:hint="eastAsia" w:ascii="仿宋_GB2312" w:hAnsi="仿宋_GB2312" w:cs="仿宋_GB2312"/>
          <w:szCs w:val="32"/>
        </w:rPr>
        <w:t>各位代表，做好2022年财政工作，任务艰巨、责任重大，区财政局将在区委区政府的坚强领导下，在区人大依法监督和区政协的民主监督下，不忘初心、牢记使命，锐意进取、真抓实干、坚定信心、攻坚克难，扎实做好财政预算各项工作，推动财政工作再上新台阶，为推动我区各项工作高质量发展贡献财政力量，以优异成绩迎接党的二十大胜利召开！</w:t>
      </w:r>
    </w:p>
    <w:p>
      <w:pPr>
        <w:ind w:firstLine="640" w:firstLineChars="20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86954"/>
      <w:docPartObj>
        <w:docPartGallery w:val="AutoText"/>
      </w:docPartObj>
    </w:sdtPr>
    <w:sdtContent>
      <w:p>
        <w:pPr>
          <w:pStyle w:val="2"/>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65CE9"/>
    <w:rsid w:val="00023AAA"/>
    <w:rsid w:val="00036D51"/>
    <w:rsid w:val="00045968"/>
    <w:rsid w:val="000621C5"/>
    <w:rsid w:val="000A6503"/>
    <w:rsid w:val="000C1E78"/>
    <w:rsid w:val="000C5D88"/>
    <w:rsid w:val="00104B2B"/>
    <w:rsid w:val="00104C96"/>
    <w:rsid w:val="00172DDB"/>
    <w:rsid w:val="00182E1D"/>
    <w:rsid w:val="001C55FD"/>
    <w:rsid w:val="001E2DC3"/>
    <w:rsid w:val="001E4586"/>
    <w:rsid w:val="00206DD4"/>
    <w:rsid w:val="00241A30"/>
    <w:rsid w:val="002A3627"/>
    <w:rsid w:val="002A5E05"/>
    <w:rsid w:val="002D0FE8"/>
    <w:rsid w:val="002D27E3"/>
    <w:rsid w:val="00317AA7"/>
    <w:rsid w:val="00335048"/>
    <w:rsid w:val="003353EB"/>
    <w:rsid w:val="00350623"/>
    <w:rsid w:val="00351E38"/>
    <w:rsid w:val="0038159D"/>
    <w:rsid w:val="00386BC9"/>
    <w:rsid w:val="003D2082"/>
    <w:rsid w:val="003F33EF"/>
    <w:rsid w:val="00402672"/>
    <w:rsid w:val="00420F5C"/>
    <w:rsid w:val="004223C2"/>
    <w:rsid w:val="00427DAC"/>
    <w:rsid w:val="00436BE6"/>
    <w:rsid w:val="00485105"/>
    <w:rsid w:val="00501652"/>
    <w:rsid w:val="00504524"/>
    <w:rsid w:val="0053049B"/>
    <w:rsid w:val="00541775"/>
    <w:rsid w:val="005543A6"/>
    <w:rsid w:val="0057494C"/>
    <w:rsid w:val="00577840"/>
    <w:rsid w:val="00586927"/>
    <w:rsid w:val="005C38ED"/>
    <w:rsid w:val="005C705F"/>
    <w:rsid w:val="005D439C"/>
    <w:rsid w:val="005E045A"/>
    <w:rsid w:val="005F37DB"/>
    <w:rsid w:val="00605EF3"/>
    <w:rsid w:val="00651678"/>
    <w:rsid w:val="006F49D3"/>
    <w:rsid w:val="0070504B"/>
    <w:rsid w:val="00707074"/>
    <w:rsid w:val="00710098"/>
    <w:rsid w:val="00762A82"/>
    <w:rsid w:val="007A6B09"/>
    <w:rsid w:val="007F0241"/>
    <w:rsid w:val="00820C70"/>
    <w:rsid w:val="00822CF4"/>
    <w:rsid w:val="00825805"/>
    <w:rsid w:val="00850ED8"/>
    <w:rsid w:val="00875823"/>
    <w:rsid w:val="00887A9D"/>
    <w:rsid w:val="008B7C77"/>
    <w:rsid w:val="008D102A"/>
    <w:rsid w:val="008F3BD5"/>
    <w:rsid w:val="00902BEA"/>
    <w:rsid w:val="00915EB1"/>
    <w:rsid w:val="00961821"/>
    <w:rsid w:val="009633D3"/>
    <w:rsid w:val="0099733F"/>
    <w:rsid w:val="009A270C"/>
    <w:rsid w:val="009D189A"/>
    <w:rsid w:val="009F1672"/>
    <w:rsid w:val="00A037B1"/>
    <w:rsid w:val="00A25239"/>
    <w:rsid w:val="00A470B9"/>
    <w:rsid w:val="00A5294C"/>
    <w:rsid w:val="00A67249"/>
    <w:rsid w:val="00A820A2"/>
    <w:rsid w:val="00A84A6A"/>
    <w:rsid w:val="00A86675"/>
    <w:rsid w:val="00AB0EC6"/>
    <w:rsid w:val="00AD597A"/>
    <w:rsid w:val="00B10464"/>
    <w:rsid w:val="00B13140"/>
    <w:rsid w:val="00B379C1"/>
    <w:rsid w:val="00B96B08"/>
    <w:rsid w:val="00BA479B"/>
    <w:rsid w:val="00BB64B1"/>
    <w:rsid w:val="00BC0039"/>
    <w:rsid w:val="00BC65F7"/>
    <w:rsid w:val="00C06897"/>
    <w:rsid w:val="00C06EDD"/>
    <w:rsid w:val="00C41DFB"/>
    <w:rsid w:val="00CA140A"/>
    <w:rsid w:val="00CA5406"/>
    <w:rsid w:val="00CC367B"/>
    <w:rsid w:val="00D65CE9"/>
    <w:rsid w:val="00DA67AC"/>
    <w:rsid w:val="00DE5A20"/>
    <w:rsid w:val="00E018A0"/>
    <w:rsid w:val="00E068F1"/>
    <w:rsid w:val="00E14A87"/>
    <w:rsid w:val="00E360B8"/>
    <w:rsid w:val="00E6126F"/>
    <w:rsid w:val="00E61A72"/>
    <w:rsid w:val="00E751B2"/>
    <w:rsid w:val="00E95319"/>
    <w:rsid w:val="00E96C5D"/>
    <w:rsid w:val="00EA5E8B"/>
    <w:rsid w:val="00EA64FF"/>
    <w:rsid w:val="00EC2432"/>
    <w:rsid w:val="00EE1864"/>
    <w:rsid w:val="00EE2121"/>
    <w:rsid w:val="00FB1DF3"/>
    <w:rsid w:val="00FB4178"/>
    <w:rsid w:val="00FE0935"/>
    <w:rsid w:val="464105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paragraph" w:customStyle="1" w:styleId="9">
    <w:name w:val="Char Char Char1 Char Char Char Char"/>
    <w:basedOn w:val="1"/>
    <w:uiPriority w:val="0"/>
    <w:rPr>
      <w:rFonts w:eastAsia="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852</Words>
  <Characters>4858</Characters>
  <Lines>40</Lines>
  <Paragraphs>11</Paragraphs>
  <TotalTime>3103</TotalTime>
  <ScaleCrop>false</ScaleCrop>
  <LinksUpToDate>false</LinksUpToDate>
  <CharactersWithSpaces>5699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2021-02-28T23:54:00Z</dcterms:created>
  <dc:creator>xqys</dc:creator>
  <cp:lastModifiedBy>Wsx</cp:lastModifiedBy>
  <cp:lastPrinted>2022-03-17T05:23:00Z</cp:lastPrinted>
  <dcterms:modified xsi:type="dcterms:W3CDTF">2025-07-23T01:22:54Z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